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C49E62" w14:textId="6CA1686C" w:rsidR="00903565" w:rsidRPr="00381F95" w:rsidRDefault="00903565" w:rsidP="0090356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381F95">
        <w:rPr>
          <w:rFonts w:ascii="Arial" w:eastAsia="SimSun" w:hAnsi="Arial" w:cs="Times New Roman"/>
          <w:b/>
          <w:bCs/>
          <w:sz w:val="24"/>
          <w:szCs w:val="20"/>
        </w:rPr>
        <w:t xml:space="preserve">3GPP TSG-RAN </w:t>
      </w:r>
      <w:r w:rsidRPr="00381F95">
        <w:rPr>
          <w:rFonts w:ascii="Arial" w:eastAsia="SimSun" w:hAnsi="Arial" w:cs="Times New Roman"/>
          <w:b/>
          <w:sz w:val="24"/>
          <w:szCs w:val="20"/>
        </w:rPr>
        <w:t>WG4 Meeting #11</w:t>
      </w:r>
      <w:r w:rsidR="008B0CC0">
        <w:rPr>
          <w:rFonts w:ascii="Arial" w:eastAsia="SimSun" w:hAnsi="Arial" w:cs="Times New Roman"/>
          <w:b/>
          <w:sz w:val="24"/>
          <w:szCs w:val="20"/>
        </w:rPr>
        <w:t>2</w:t>
      </w:r>
      <w:r w:rsidRPr="00381F95">
        <w:rPr>
          <w:rFonts w:ascii="Arial" w:eastAsia="SimSun" w:hAnsi="Arial" w:cs="Times New Roman"/>
          <w:b/>
          <w:bCs/>
          <w:sz w:val="24"/>
          <w:szCs w:val="20"/>
        </w:rPr>
        <w:tab/>
      </w:r>
      <w:r w:rsidR="005778BE" w:rsidRPr="005778BE">
        <w:rPr>
          <w:rFonts w:ascii="Arial" w:eastAsia="SimSun" w:hAnsi="Arial" w:cs="Times New Roman"/>
          <w:b/>
          <w:bCs/>
          <w:sz w:val="24"/>
          <w:szCs w:val="20"/>
        </w:rPr>
        <w:t>R4-241202</w:t>
      </w:r>
      <w:r w:rsidR="00475D7C">
        <w:rPr>
          <w:rFonts w:ascii="Arial" w:eastAsia="SimSun" w:hAnsi="Arial" w:cs="Times New Roman"/>
          <w:b/>
          <w:bCs/>
          <w:sz w:val="24"/>
          <w:szCs w:val="20"/>
        </w:rPr>
        <w:t>7</w:t>
      </w:r>
    </w:p>
    <w:p w14:paraId="14FCFAD5" w14:textId="523012AD" w:rsidR="00903565" w:rsidRPr="00381F95" w:rsidRDefault="008B0CC0" w:rsidP="0090356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Maastricht, Netherlands, 19-23 August 2024</w:t>
      </w:r>
    </w:p>
    <w:p w14:paraId="482F8011" w14:textId="77777777" w:rsidR="00903565" w:rsidRPr="00EF698B" w:rsidRDefault="00903565" w:rsidP="0090356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150D8FA" w14:textId="77777777" w:rsidR="00903565" w:rsidRPr="00EF698B" w:rsidRDefault="00903565" w:rsidP="00903565">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w:t>
      </w:r>
    </w:p>
    <w:p w14:paraId="79BE083C" w14:textId="24E7BA6D"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CC1A0B" w:rsidRPr="00CC1A0B">
        <w:rPr>
          <w:rFonts w:ascii="Arial" w:eastAsia="Calibri" w:hAnsi="Arial" w:cs="Arial"/>
          <w:b/>
          <w:bCs/>
          <w:sz w:val="24"/>
          <w:szCs w:val="24"/>
        </w:rPr>
        <w:t xml:space="preserve">On </w:t>
      </w:r>
      <w:r w:rsidR="003C27BB">
        <w:rPr>
          <w:rFonts w:ascii="Arial" w:eastAsia="Calibri" w:hAnsi="Arial" w:cs="Arial"/>
          <w:b/>
          <w:bCs/>
          <w:sz w:val="24"/>
          <w:szCs w:val="24"/>
        </w:rPr>
        <w:t xml:space="preserve">Rel-18 </w:t>
      </w:r>
      <w:proofErr w:type="gramStart"/>
      <w:r w:rsidR="003C27BB">
        <w:rPr>
          <w:rFonts w:ascii="Arial" w:eastAsia="Calibri" w:hAnsi="Arial" w:cs="Arial"/>
          <w:b/>
          <w:bCs/>
          <w:sz w:val="24"/>
          <w:szCs w:val="24"/>
        </w:rPr>
        <w:t>Multi</w:t>
      </w:r>
      <w:r w:rsidR="00ED70DF">
        <w:rPr>
          <w:rFonts w:ascii="Arial" w:eastAsia="Calibri" w:hAnsi="Arial" w:cs="Arial"/>
          <w:b/>
          <w:bCs/>
          <w:sz w:val="24"/>
          <w:szCs w:val="24"/>
        </w:rPr>
        <w:t>-</w:t>
      </w:r>
      <w:r w:rsidR="003C27BB">
        <w:rPr>
          <w:rFonts w:ascii="Arial" w:eastAsia="Calibri" w:hAnsi="Arial" w:cs="Arial"/>
          <w:b/>
          <w:bCs/>
          <w:sz w:val="24"/>
          <w:szCs w:val="24"/>
        </w:rPr>
        <w:t>Rx</w:t>
      </w:r>
      <w:proofErr w:type="gramEnd"/>
      <w:r w:rsidR="005277FF">
        <w:rPr>
          <w:rFonts w:ascii="Arial" w:eastAsia="Calibri" w:hAnsi="Arial" w:cs="Arial"/>
          <w:b/>
          <w:bCs/>
          <w:sz w:val="24"/>
          <w:szCs w:val="24"/>
        </w:rPr>
        <w:t xml:space="preserve"> core part maintenance</w:t>
      </w:r>
    </w:p>
    <w:p w14:paraId="0A4EEEEB" w14:textId="2D28CA0C"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AA0CA8">
        <w:rPr>
          <w:rFonts w:ascii="Arial" w:eastAsia="MS Mincho" w:hAnsi="Arial" w:cs="Arial"/>
          <w:b/>
          <w:bCs/>
          <w:sz w:val="24"/>
          <w:szCs w:val="20"/>
        </w:rPr>
        <w:t>5.13.1</w:t>
      </w:r>
    </w:p>
    <w:p w14:paraId="1130706F"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A561B9C" w14:textId="77777777" w:rsidR="00E323E9" w:rsidRPr="00EF698B" w:rsidRDefault="00E323E9" w:rsidP="00841BCD">
      <w:pPr>
        <w:tabs>
          <w:tab w:val="left" w:pos="1985"/>
        </w:tabs>
        <w:rPr>
          <w:rFonts w:ascii="Arial" w:eastAsia="Calibri" w:hAnsi="Arial" w:cs="Arial"/>
          <w:b/>
          <w:bCs/>
          <w:sz w:val="24"/>
        </w:rPr>
      </w:pPr>
    </w:p>
    <w:p w14:paraId="4F4021CA" w14:textId="77777777" w:rsidR="00BC4C24" w:rsidRDefault="00841BCD" w:rsidP="00BC4C24">
      <w:pPr>
        <w:pStyle w:val="RAN4H1"/>
        <w:rPr>
          <w:lang w:val="en-US"/>
        </w:rPr>
      </w:pPr>
      <w:bookmarkStart w:id="0" w:name="_Toc116995841"/>
      <w:r w:rsidRPr="00EF698B">
        <w:rPr>
          <w:lang w:val="en-US"/>
        </w:rPr>
        <w:t>Intro</w:t>
      </w:r>
      <w:r w:rsidRPr="00EF698B">
        <w:rPr>
          <w:rStyle w:val="RAN4H1Char"/>
          <w:lang w:val="en-US"/>
        </w:rPr>
        <w:t>ductio</w:t>
      </w:r>
      <w:r w:rsidRPr="00EF698B">
        <w:rPr>
          <w:lang w:val="en-US"/>
        </w:rPr>
        <w:t>n</w:t>
      </w:r>
      <w:bookmarkEnd w:id="0"/>
    </w:p>
    <w:p w14:paraId="5DCE241C" w14:textId="7FA61E76" w:rsidR="00BC4C24" w:rsidRDefault="005277FF" w:rsidP="00BC4C24">
      <w:pPr>
        <w:rPr>
          <w:rStyle w:val="normaltextrun"/>
          <w:color w:val="000000"/>
          <w:shd w:val="clear" w:color="auto" w:fill="FFFFFF"/>
        </w:rPr>
      </w:pPr>
      <w:r>
        <w:rPr>
          <w:rStyle w:val="normaltextrun"/>
          <w:color w:val="000000"/>
          <w:shd w:val="clear" w:color="auto" w:fill="FFFFFF"/>
        </w:rPr>
        <w:t xml:space="preserve">Rel-18 multi-Rx </w:t>
      </w:r>
      <w:r w:rsidR="007D4A45">
        <w:rPr>
          <w:rStyle w:val="normaltextrun"/>
          <w:color w:val="000000"/>
          <w:shd w:val="clear" w:color="auto" w:fill="FFFFFF"/>
        </w:rPr>
        <w:t xml:space="preserve">work item was closed in the last RAN4 meeting including the performance part of the work item. However, some unfinished issues were still listed in the way forward of RAN4#111 meeting in [1]. </w:t>
      </w:r>
      <w:r w:rsidR="00CE58AE">
        <w:rPr>
          <w:rStyle w:val="normaltextrun"/>
          <w:color w:val="000000"/>
          <w:shd w:val="clear" w:color="auto" w:fill="FFFFFF"/>
        </w:rPr>
        <w:t>In this contribution w</w:t>
      </w:r>
      <w:r>
        <w:rPr>
          <w:rStyle w:val="normaltextrun"/>
          <w:color w:val="000000"/>
          <w:shd w:val="clear" w:color="auto" w:fill="FFFFFF"/>
        </w:rPr>
        <w:t xml:space="preserve">e discuss </w:t>
      </w:r>
      <w:r w:rsidR="007D4A45">
        <w:rPr>
          <w:rStyle w:val="normaltextrun"/>
          <w:color w:val="000000"/>
          <w:shd w:val="clear" w:color="auto" w:fill="FFFFFF"/>
        </w:rPr>
        <w:t>these issues.</w:t>
      </w:r>
    </w:p>
    <w:p w14:paraId="46B1A47A" w14:textId="078BFC11" w:rsidR="0030289E" w:rsidRDefault="00CF6DB6" w:rsidP="0030289E">
      <w:pPr>
        <w:pStyle w:val="RAN4H1"/>
      </w:pPr>
      <w:r>
        <w:t>Measurement restrictions</w:t>
      </w:r>
    </w:p>
    <w:p w14:paraId="5B376CD4" w14:textId="7D29333D" w:rsidR="00E12BE9" w:rsidRDefault="00E12BE9" w:rsidP="00E12BE9">
      <w:pPr>
        <w:rPr>
          <w:lang w:val="en-GB"/>
        </w:rPr>
      </w:pPr>
      <w:r>
        <w:rPr>
          <w:lang w:val="en-GB"/>
        </w:rPr>
        <w:t>Lengthy discussions took place in the RAN4#111 meeting about the multi-Rx measurement restrictions, and the following was captured in the WF:</w:t>
      </w:r>
    </w:p>
    <w:tbl>
      <w:tblPr>
        <w:tblStyle w:val="TableGrid"/>
        <w:tblW w:w="0" w:type="auto"/>
        <w:tblLook w:val="04A0" w:firstRow="1" w:lastRow="0" w:firstColumn="1" w:lastColumn="0" w:noHBand="0" w:noVBand="1"/>
      </w:tblPr>
      <w:tblGrid>
        <w:gridCol w:w="9617"/>
      </w:tblGrid>
      <w:tr w:rsidR="00E12BE9" w14:paraId="48E8632F" w14:textId="77777777" w:rsidTr="00E12BE9">
        <w:tc>
          <w:tcPr>
            <w:tcW w:w="9617" w:type="dxa"/>
          </w:tcPr>
          <w:p w14:paraId="29F5E6FC" w14:textId="77777777" w:rsidR="00E12BE9" w:rsidRPr="00E12BE9" w:rsidRDefault="00E12BE9" w:rsidP="00E12BE9">
            <w:pPr>
              <w:spacing w:after="180"/>
              <w:ind w:left="288"/>
              <w:rPr>
                <w:rFonts w:eastAsia="Times New Roman" w:cs="Times New Roman"/>
                <w:color w:val="0070C0"/>
                <w:sz w:val="18"/>
                <w:szCs w:val="18"/>
                <w:lang w:val="en-GB"/>
              </w:rPr>
            </w:pPr>
            <w:r w:rsidRPr="00E12BE9">
              <w:rPr>
                <w:rFonts w:eastAsia="Times New Roman" w:cs="Times New Roman"/>
                <w:b/>
                <w:bCs/>
                <w:color w:val="0070C0"/>
                <w:sz w:val="18"/>
                <w:szCs w:val="18"/>
                <w:u w:val="single"/>
                <w:lang w:val="en-GB"/>
              </w:rPr>
              <w:t>Issue 1-3-2: measurement restriction for sDCI and mDCI</w:t>
            </w:r>
          </w:p>
          <w:p w14:paraId="59AB12F5" w14:textId="77777777" w:rsidR="00E12BE9" w:rsidRPr="00E12BE9" w:rsidRDefault="00E12BE9" w:rsidP="00E12BE9">
            <w:pPr>
              <w:spacing w:after="120"/>
              <w:ind w:left="288"/>
              <w:rPr>
                <w:rFonts w:eastAsia="Times New Roman" w:cs="Times New Roman"/>
                <w:color w:val="0070C0"/>
                <w:sz w:val="18"/>
                <w:szCs w:val="18"/>
                <w:lang w:val="en-GB"/>
              </w:rPr>
            </w:pPr>
            <w:r w:rsidRPr="00E12BE9">
              <w:rPr>
                <w:rFonts w:eastAsia="Times New Roman" w:cs="Times New Roman"/>
                <w:color w:val="0070C0"/>
                <w:sz w:val="18"/>
                <w:szCs w:val="18"/>
                <w:lang w:val="en-GB"/>
              </w:rPr>
              <w:t>Background: As per RAN1 spec highlighted in Huawei contribution R4-2408558</w:t>
            </w:r>
          </w:p>
          <w:p w14:paraId="130330CD" w14:textId="77777777" w:rsidR="00E12BE9" w:rsidRPr="00E12BE9" w:rsidRDefault="00E12BE9" w:rsidP="00E12BE9">
            <w:pPr>
              <w:numPr>
                <w:ilvl w:val="0"/>
                <w:numId w:val="27"/>
              </w:numPr>
              <w:spacing w:after="120"/>
              <w:textAlignment w:val="center"/>
              <w:rPr>
                <w:rFonts w:ascii="Calibri" w:eastAsia="Times New Roman" w:hAnsi="Calibri" w:cs="Calibri"/>
                <w:szCs w:val="20"/>
                <w:lang w:val="en-GB"/>
              </w:rPr>
            </w:pPr>
            <w:r w:rsidRPr="00E12BE9">
              <w:rPr>
                <w:rFonts w:eastAsia="Times New Roman" w:cs="Times New Roman"/>
                <w:sz w:val="18"/>
                <w:szCs w:val="18"/>
                <w:lang w:val="en-GB"/>
              </w:rPr>
              <w:t xml:space="preserve">timeDurationForQCL </w:t>
            </w:r>
          </w:p>
          <w:p w14:paraId="7C73DC3F" w14:textId="77777777" w:rsidR="00E12BE9" w:rsidRPr="00E12BE9" w:rsidRDefault="00E12BE9" w:rsidP="00E12BE9">
            <w:pPr>
              <w:numPr>
                <w:ilvl w:val="1"/>
                <w:numId w:val="27"/>
              </w:numPr>
              <w:spacing w:after="120"/>
              <w:textAlignment w:val="center"/>
              <w:rPr>
                <w:rFonts w:ascii="Calibri" w:eastAsia="Times New Roman" w:hAnsi="Calibri" w:cs="Calibri"/>
                <w:szCs w:val="20"/>
                <w:lang w:val="en-GB"/>
              </w:rPr>
            </w:pPr>
            <w:r w:rsidRPr="00E12BE9">
              <w:rPr>
                <w:rFonts w:eastAsia="Times New Roman" w:cs="Times New Roman"/>
                <w:sz w:val="18"/>
                <w:szCs w:val="18"/>
                <w:lang w:val="en-GB"/>
              </w:rPr>
              <w:t>SCS of 60 kHz: s7, s14, s28</w:t>
            </w:r>
          </w:p>
          <w:p w14:paraId="03D54A70" w14:textId="77777777" w:rsidR="00E12BE9" w:rsidRPr="00E12BE9" w:rsidRDefault="00E12BE9" w:rsidP="00E12BE9">
            <w:pPr>
              <w:numPr>
                <w:ilvl w:val="1"/>
                <w:numId w:val="27"/>
              </w:numPr>
              <w:spacing w:after="120"/>
              <w:textAlignment w:val="center"/>
              <w:rPr>
                <w:rFonts w:ascii="Calibri" w:eastAsia="Times New Roman" w:hAnsi="Calibri" w:cs="Calibri"/>
                <w:szCs w:val="20"/>
                <w:lang w:val="en-GB"/>
              </w:rPr>
            </w:pPr>
            <w:r w:rsidRPr="00E12BE9">
              <w:rPr>
                <w:rFonts w:eastAsia="Times New Roman" w:cs="Times New Roman"/>
                <w:sz w:val="18"/>
                <w:szCs w:val="18"/>
                <w:lang w:val="en-GB"/>
              </w:rPr>
              <w:t>SCS of 120 kHz: s14, s28.</w:t>
            </w:r>
          </w:p>
          <w:p w14:paraId="28954D62" w14:textId="77777777" w:rsidR="00E12BE9" w:rsidRPr="00E12BE9" w:rsidRDefault="00E12BE9" w:rsidP="00E12BE9">
            <w:pPr>
              <w:numPr>
                <w:ilvl w:val="0"/>
                <w:numId w:val="27"/>
              </w:numPr>
              <w:spacing w:after="120"/>
              <w:textAlignment w:val="center"/>
              <w:rPr>
                <w:rFonts w:ascii="Calibri" w:eastAsia="Times New Roman" w:hAnsi="Calibri" w:cs="Calibri"/>
                <w:szCs w:val="20"/>
                <w:lang w:val="en-GB"/>
              </w:rPr>
            </w:pPr>
            <w:r w:rsidRPr="00E12BE9">
              <w:rPr>
                <w:rFonts w:eastAsia="Times New Roman" w:cs="Times New Roman"/>
                <w:sz w:val="18"/>
                <w:szCs w:val="18"/>
                <w:lang w:val="en-GB"/>
              </w:rPr>
              <w:t>sTRP</w:t>
            </w:r>
          </w:p>
          <w:p w14:paraId="02C65FE7" w14:textId="77777777" w:rsidR="00E12BE9" w:rsidRPr="00E12BE9" w:rsidRDefault="00E12BE9" w:rsidP="00E12BE9">
            <w:pPr>
              <w:spacing w:after="120"/>
              <w:ind w:left="1080"/>
              <w:rPr>
                <w:rFonts w:ascii="Calibri" w:eastAsia="Times New Roman" w:hAnsi="Calibri" w:cs="Calibri"/>
                <w:szCs w:val="20"/>
              </w:rPr>
            </w:pPr>
            <w:r w:rsidRPr="00E12BE9">
              <w:rPr>
                <w:rFonts w:ascii="Calibri" w:eastAsia="Times New Roman" w:hAnsi="Calibri" w:cs="Calibri"/>
                <w:szCs w:val="20"/>
              </w:rPr>
              <w:t> </w:t>
            </w:r>
          </w:p>
          <w:p w14:paraId="0F59D658" w14:textId="77777777" w:rsidR="00E12BE9" w:rsidRPr="00E12BE9" w:rsidRDefault="00E12BE9" w:rsidP="00E12BE9">
            <w:pPr>
              <w:ind w:left="1080"/>
              <w:rPr>
                <w:rFonts w:ascii="Calibri" w:eastAsia="Times New Roman" w:hAnsi="Calibri" w:cs="Calibri"/>
                <w:szCs w:val="20"/>
              </w:rPr>
            </w:pPr>
            <w:r w:rsidRPr="00E12BE9">
              <w:rPr>
                <w:rFonts w:ascii="Calibri" w:eastAsia="Times New Roman" w:hAnsi="Calibri" w:cs="Calibri"/>
                <w:noProof/>
                <w:szCs w:val="20"/>
              </w:rPr>
              <w:drawing>
                <wp:inline distT="0" distB="0" distL="0" distR="0" wp14:anchorId="21C033C5" wp14:editId="7605109C">
                  <wp:extent cx="3864610" cy="1153160"/>
                  <wp:effectExtent l="0" t="0" r="2540" b="889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64610" cy="1153160"/>
                          </a:xfrm>
                          <a:prstGeom prst="rect">
                            <a:avLst/>
                          </a:prstGeom>
                          <a:noFill/>
                          <a:ln>
                            <a:noFill/>
                          </a:ln>
                        </pic:spPr>
                      </pic:pic>
                    </a:graphicData>
                  </a:graphic>
                </wp:inline>
              </w:drawing>
            </w:r>
          </w:p>
          <w:p w14:paraId="0480B502" w14:textId="77777777" w:rsidR="00E12BE9" w:rsidRPr="00E12BE9" w:rsidRDefault="00E12BE9" w:rsidP="00E12BE9">
            <w:pPr>
              <w:spacing w:after="120"/>
              <w:ind w:left="1080"/>
              <w:rPr>
                <w:rFonts w:ascii="Calibri" w:eastAsia="Times New Roman" w:hAnsi="Calibri" w:cs="Calibri"/>
                <w:szCs w:val="20"/>
              </w:rPr>
            </w:pPr>
            <w:r w:rsidRPr="00E12BE9">
              <w:rPr>
                <w:rFonts w:ascii="Calibri" w:eastAsia="Times New Roman" w:hAnsi="Calibri" w:cs="Calibri"/>
                <w:szCs w:val="20"/>
              </w:rPr>
              <w:t> </w:t>
            </w:r>
          </w:p>
          <w:p w14:paraId="58ACB955" w14:textId="77777777" w:rsidR="00E12BE9" w:rsidRPr="00E12BE9" w:rsidRDefault="00E12BE9" w:rsidP="00E12BE9">
            <w:pPr>
              <w:numPr>
                <w:ilvl w:val="0"/>
                <w:numId w:val="28"/>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lang w:val="en-GB"/>
              </w:rPr>
              <w:t>Moderator Observation for sTRP:</w:t>
            </w:r>
          </w:p>
          <w:p w14:paraId="754EE724" w14:textId="77777777" w:rsidR="00E12BE9" w:rsidRPr="00E12BE9" w:rsidRDefault="00E12BE9" w:rsidP="00E12BE9">
            <w:pPr>
              <w:numPr>
                <w:ilvl w:val="1"/>
                <w:numId w:val="28"/>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u w:val="single"/>
                <w:lang w:val="en-GB"/>
              </w:rPr>
              <w:t>Same slot scheduling:</w:t>
            </w:r>
          </w:p>
          <w:p w14:paraId="6F06342E" w14:textId="77777777" w:rsidR="00E12BE9" w:rsidRPr="00E12BE9" w:rsidRDefault="00E12BE9" w:rsidP="00E12BE9">
            <w:pPr>
              <w:numPr>
                <w:ilvl w:val="2"/>
                <w:numId w:val="28"/>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lang w:val="en-GB"/>
              </w:rPr>
              <w:t>PDSCH always have QCL assumption of lowest CORESET. QCL source corresponding to indicated TCI state in DCI is only used for cross slot scheduling. In other words, for same slot scheduling, PDCCH and PDSCH has same QCL assumptions</w:t>
            </w:r>
          </w:p>
          <w:p w14:paraId="5C0CBC53" w14:textId="77777777" w:rsidR="00E12BE9" w:rsidRPr="00E12BE9" w:rsidRDefault="00E12BE9" w:rsidP="00E12BE9">
            <w:pPr>
              <w:numPr>
                <w:ilvl w:val="1"/>
                <w:numId w:val="28"/>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u w:val="single"/>
                <w:lang w:val="en-GB"/>
              </w:rPr>
              <w:t xml:space="preserve">Cross slot scheduling: </w:t>
            </w:r>
          </w:p>
          <w:p w14:paraId="6FA1A07B" w14:textId="77777777" w:rsidR="00E12BE9" w:rsidRPr="00E12BE9" w:rsidRDefault="00E12BE9" w:rsidP="00E12BE9">
            <w:pPr>
              <w:numPr>
                <w:ilvl w:val="2"/>
                <w:numId w:val="28"/>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lang w:val="en-GB"/>
              </w:rPr>
              <w:t>If the scheduling offset is more than timeDurationForQCL, it is possible to use the beam indicated in TCI state as QCL source, else it is always the same beam as PDCCH or the lowest CORESETID is used for PDSCH reception.</w:t>
            </w:r>
          </w:p>
          <w:p w14:paraId="269670D7" w14:textId="77777777" w:rsidR="00E12BE9" w:rsidRPr="00E12BE9" w:rsidRDefault="00E12BE9" w:rsidP="00E12BE9">
            <w:pPr>
              <w:spacing w:after="120"/>
              <w:ind w:left="288"/>
              <w:rPr>
                <w:rFonts w:eastAsia="Times New Roman" w:cs="Times New Roman"/>
                <w:color w:val="0070C0"/>
                <w:sz w:val="18"/>
                <w:szCs w:val="18"/>
                <w:lang w:val="en-GB"/>
              </w:rPr>
            </w:pPr>
            <w:r w:rsidRPr="00E12BE9">
              <w:rPr>
                <w:rFonts w:eastAsia="Times New Roman" w:cs="Times New Roman"/>
                <w:color w:val="0070C0"/>
                <w:sz w:val="18"/>
                <w:szCs w:val="18"/>
                <w:lang w:val="en-GB"/>
              </w:rPr>
              <w:t> </w:t>
            </w:r>
          </w:p>
          <w:p w14:paraId="7473C025" w14:textId="77777777" w:rsidR="00E12BE9" w:rsidRPr="00E12BE9" w:rsidRDefault="00E12BE9" w:rsidP="00E12BE9">
            <w:pPr>
              <w:spacing w:after="120"/>
              <w:ind w:left="288"/>
              <w:rPr>
                <w:rFonts w:eastAsia="Times New Roman" w:cs="Times New Roman"/>
                <w:color w:val="0070C0"/>
                <w:sz w:val="18"/>
                <w:szCs w:val="18"/>
                <w:lang w:val="en-GB"/>
              </w:rPr>
            </w:pPr>
            <w:r w:rsidRPr="00E12BE9">
              <w:rPr>
                <w:rFonts w:eastAsia="Times New Roman" w:cs="Times New Roman"/>
                <w:color w:val="0070C0"/>
                <w:sz w:val="18"/>
                <w:szCs w:val="18"/>
                <w:lang w:val="en-GB"/>
              </w:rPr>
              <w:t xml:space="preserve">    </w:t>
            </w:r>
            <w:r w:rsidRPr="00E12BE9">
              <w:rPr>
                <w:rFonts w:eastAsia="Times New Roman" w:cs="Times New Roman"/>
                <w:color w:val="0070C0"/>
                <w:sz w:val="18"/>
                <w:szCs w:val="18"/>
                <w:u w:val="single"/>
                <w:lang w:val="en-GB"/>
              </w:rPr>
              <w:t>mTRP sDCI:</w:t>
            </w:r>
          </w:p>
          <w:p w14:paraId="179F35B1" w14:textId="77777777" w:rsidR="00E12BE9" w:rsidRPr="00E12BE9" w:rsidRDefault="00E12BE9" w:rsidP="00E12BE9">
            <w:pPr>
              <w:ind w:left="288"/>
              <w:rPr>
                <w:rFonts w:ascii="Calibri" w:eastAsia="Times New Roman" w:hAnsi="Calibri" w:cs="Calibri"/>
                <w:szCs w:val="20"/>
              </w:rPr>
            </w:pPr>
            <w:r w:rsidRPr="00E12BE9">
              <w:rPr>
                <w:rFonts w:ascii="Calibri" w:eastAsia="Times New Roman" w:hAnsi="Calibri" w:cs="Calibri"/>
                <w:noProof/>
                <w:szCs w:val="20"/>
              </w:rPr>
              <w:lastRenderedPageBreak/>
              <w:drawing>
                <wp:inline distT="0" distB="0" distL="0" distR="0" wp14:anchorId="32F3DA71" wp14:editId="500FEFCD">
                  <wp:extent cx="4452620" cy="2440940"/>
                  <wp:effectExtent l="0" t="0" r="508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2620" cy="2440940"/>
                          </a:xfrm>
                          <a:prstGeom prst="rect">
                            <a:avLst/>
                          </a:prstGeom>
                          <a:noFill/>
                          <a:ln>
                            <a:noFill/>
                          </a:ln>
                        </pic:spPr>
                      </pic:pic>
                    </a:graphicData>
                  </a:graphic>
                </wp:inline>
              </w:drawing>
            </w:r>
          </w:p>
          <w:p w14:paraId="51DB90A8" w14:textId="77777777" w:rsidR="00E12BE9" w:rsidRPr="00E12BE9" w:rsidRDefault="00E12BE9" w:rsidP="00E12BE9">
            <w:pPr>
              <w:spacing w:after="120"/>
              <w:ind w:left="288"/>
              <w:rPr>
                <w:rFonts w:ascii="Calibri" w:eastAsia="Times New Roman" w:hAnsi="Calibri" w:cs="Calibri"/>
                <w:szCs w:val="20"/>
              </w:rPr>
            </w:pPr>
            <w:r w:rsidRPr="00E12BE9">
              <w:rPr>
                <w:rFonts w:ascii="Calibri" w:eastAsia="Times New Roman" w:hAnsi="Calibri" w:cs="Calibri"/>
                <w:szCs w:val="20"/>
              </w:rPr>
              <w:t> </w:t>
            </w:r>
          </w:p>
          <w:p w14:paraId="6F495033" w14:textId="77777777" w:rsidR="00E12BE9" w:rsidRPr="00E12BE9" w:rsidRDefault="00E12BE9" w:rsidP="00E12BE9">
            <w:pPr>
              <w:numPr>
                <w:ilvl w:val="0"/>
                <w:numId w:val="29"/>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lang w:val="en-GB"/>
              </w:rPr>
              <w:t>Moderator Observation for mTRP sDCI:</w:t>
            </w:r>
          </w:p>
          <w:p w14:paraId="6A96A631" w14:textId="77777777" w:rsidR="00E12BE9" w:rsidRPr="00E12BE9" w:rsidRDefault="00E12BE9" w:rsidP="00E12BE9">
            <w:pPr>
              <w:numPr>
                <w:ilvl w:val="1"/>
                <w:numId w:val="29"/>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u w:val="single"/>
                <w:lang w:val="en-GB"/>
              </w:rPr>
              <w:t>Same slot scheduling or Scheduling offset is lower than timeDurationForQCL:</w:t>
            </w:r>
          </w:p>
          <w:p w14:paraId="307294C5" w14:textId="77777777" w:rsidR="00E12BE9" w:rsidRPr="00E12BE9" w:rsidRDefault="00E12BE9" w:rsidP="00E12BE9">
            <w:pPr>
              <w:numPr>
                <w:ilvl w:val="2"/>
                <w:numId w:val="29"/>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lang w:val="en-GB"/>
              </w:rPr>
              <w:t xml:space="preserve">PDSCH always use QCL assumption of lowest codepoint among the TCI code points containing two different TCI states.  That means the TCI state indicated in DCI is not used for same slot scheduling. </w:t>
            </w:r>
          </w:p>
          <w:p w14:paraId="36C223C8" w14:textId="77777777" w:rsidR="00E12BE9" w:rsidRPr="00E12BE9" w:rsidRDefault="00E12BE9" w:rsidP="00E12BE9">
            <w:pPr>
              <w:numPr>
                <w:ilvl w:val="1"/>
                <w:numId w:val="29"/>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u w:val="single"/>
                <w:lang w:val="en-GB"/>
              </w:rPr>
              <w:t xml:space="preserve">Cross slot scheduling: </w:t>
            </w:r>
          </w:p>
          <w:p w14:paraId="50E37DCE" w14:textId="77777777" w:rsidR="00E12BE9" w:rsidRPr="00E12BE9" w:rsidRDefault="00E12BE9" w:rsidP="00E12BE9">
            <w:pPr>
              <w:numPr>
                <w:ilvl w:val="2"/>
                <w:numId w:val="29"/>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lang w:val="en-GB"/>
              </w:rPr>
              <w:t xml:space="preserve">If the scheduling offset is more than timeDurationForQCL, beam indicated in TCI state are used. </w:t>
            </w:r>
          </w:p>
          <w:p w14:paraId="425E32FC" w14:textId="77777777" w:rsidR="00E12BE9" w:rsidRPr="00E12BE9" w:rsidRDefault="00E12BE9" w:rsidP="00E12BE9">
            <w:pPr>
              <w:numPr>
                <w:ilvl w:val="0"/>
                <w:numId w:val="29"/>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lang w:val="en-GB"/>
              </w:rPr>
              <w:t>Moderator Observation for mTRP mDCI:</w:t>
            </w:r>
          </w:p>
          <w:p w14:paraId="32D6BDA5" w14:textId="77777777" w:rsidR="00E12BE9" w:rsidRPr="00E12BE9" w:rsidRDefault="00E12BE9" w:rsidP="00E12BE9">
            <w:pPr>
              <w:numPr>
                <w:ilvl w:val="1"/>
                <w:numId w:val="29"/>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lang w:val="en-GB"/>
              </w:rPr>
              <w:t>For each TRP, sTRP observation applies.</w:t>
            </w:r>
          </w:p>
          <w:p w14:paraId="73364372" w14:textId="77777777" w:rsidR="00E12BE9" w:rsidRPr="00E12BE9" w:rsidRDefault="00E12BE9" w:rsidP="00E12BE9">
            <w:pPr>
              <w:spacing w:after="120"/>
              <w:ind w:left="288"/>
              <w:rPr>
                <w:rFonts w:eastAsia="Times New Roman" w:cs="Times New Roman"/>
                <w:color w:val="0070C0"/>
                <w:sz w:val="18"/>
                <w:szCs w:val="18"/>
                <w:lang w:val="en-GB"/>
              </w:rPr>
            </w:pPr>
            <w:r w:rsidRPr="00E12BE9">
              <w:rPr>
                <w:rFonts w:eastAsia="Times New Roman" w:cs="Times New Roman"/>
                <w:color w:val="0070C0"/>
                <w:sz w:val="18"/>
                <w:szCs w:val="18"/>
                <w:lang w:val="en-GB"/>
              </w:rPr>
              <w:t> </w:t>
            </w:r>
          </w:p>
          <w:p w14:paraId="03C66AD2" w14:textId="77777777" w:rsidR="00E12BE9" w:rsidRPr="00E12BE9" w:rsidRDefault="00E12BE9" w:rsidP="00E12BE9">
            <w:pPr>
              <w:spacing w:after="120"/>
              <w:ind w:left="288"/>
              <w:rPr>
                <w:rFonts w:eastAsia="Times New Roman" w:cs="Times New Roman"/>
                <w:color w:val="0070C0"/>
                <w:sz w:val="18"/>
                <w:szCs w:val="18"/>
                <w:lang w:val="en-GB"/>
              </w:rPr>
            </w:pPr>
            <w:r w:rsidRPr="00E12BE9">
              <w:rPr>
                <w:rFonts w:eastAsia="Times New Roman" w:cs="Times New Roman"/>
                <w:color w:val="0070C0"/>
                <w:sz w:val="18"/>
                <w:szCs w:val="18"/>
                <w:lang w:val="en-GB"/>
              </w:rPr>
              <w:t xml:space="preserve">After PDCCH processing time, UE knows if there is an overlapped PDSCH with CSI-RS or not. For simplicity, let’s assume </w:t>
            </w:r>
            <w:r w:rsidRPr="00E12BE9">
              <w:rPr>
                <w:rFonts w:eastAsia="Times New Roman" w:cs="Times New Roman"/>
                <w:color w:val="0070C0"/>
                <w:sz w:val="18"/>
                <w:szCs w:val="18"/>
                <w:highlight w:val="yellow"/>
                <w:lang w:val="en-GB"/>
              </w:rPr>
              <w:t>PDCCH processing time as timeDurationForQCL</w:t>
            </w:r>
            <w:r w:rsidRPr="00E12BE9">
              <w:rPr>
                <w:rFonts w:eastAsia="Times New Roman" w:cs="Times New Roman"/>
                <w:color w:val="0070C0"/>
                <w:sz w:val="18"/>
                <w:szCs w:val="18"/>
                <w:lang w:val="en-GB"/>
              </w:rPr>
              <w:t xml:space="preserve">. That means if the scheduling offset is before timeDurationForQCL, UE need to buffer the data worth of timeDurationForQCL and process it later. If the scheduling offset is larger than timeDurationForQCL, UE can know what’s the QCL assumptions for the PDSCH and it can determine whether to receive on single beam or beam pair. </w:t>
            </w:r>
          </w:p>
          <w:p w14:paraId="6DFCBE3F" w14:textId="77777777" w:rsidR="00E12BE9" w:rsidRPr="00E12BE9" w:rsidRDefault="00E12BE9" w:rsidP="00E12BE9">
            <w:pPr>
              <w:spacing w:after="120"/>
              <w:ind w:left="288"/>
              <w:rPr>
                <w:rFonts w:eastAsia="Times New Roman" w:cs="Times New Roman"/>
                <w:color w:val="0070C0"/>
                <w:sz w:val="18"/>
                <w:szCs w:val="18"/>
                <w:lang w:val="en-GB"/>
              </w:rPr>
            </w:pPr>
            <w:r w:rsidRPr="00E12BE9">
              <w:rPr>
                <w:rFonts w:eastAsia="Times New Roman" w:cs="Times New Roman"/>
                <w:color w:val="0070C0"/>
                <w:sz w:val="18"/>
                <w:szCs w:val="18"/>
                <w:lang w:val="en-GB"/>
              </w:rPr>
              <w:t> </w:t>
            </w:r>
          </w:p>
          <w:p w14:paraId="141B6D6D" w14:textId="77777777" w:rsidR="00E12BE9" w:rsidRPr="00E12BE9" w:rsidRDefault="00E12BE9" w:rsidP="00E12BE9">
            <w:pPr>
              <w:numPr>
                <w:ilvl w:val="0"/>
                <w:numId w:val="30"/>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lang w:val="en-GB"/>
              </w:rPr>
              <w:t>Moderator recommendation</w:t>
            </w:r>
          </w:p>
          <w:p w14:paraId="7B41AFDB" w14:textId="77777777" w:rsidR="00E12BE9" w:rsidRPr="00E12BE9" w:rsidRDefault="00E12BE9" w:rsidP="00E12BE9">
            <w:pPr>
              <w:numPr>
                <w:ilvl w:val="1"/>
                <w:numId w:val="30"/>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lang w:val="en-GB"/>
              </w:rPr>
              <w:t xml:space="preserve">Same slot scheduling or scheduling offset less than timeDurationForQCL </w:t>
            </w:r>
          </w:p>
          <w:p w14:paraId="22046CC8" w14:textId="77777777" w:rsidR="00E12BE9" w:rsidRPr="00E12BE9" w:rsidRDefault="00E12BE9" w:rsidP="00E12BE9">
            <w:pPr>
              <w:numPr>
                <w:ilvl w:val="2"/>
                <w:numId w:val="30"/>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lang w:val="en-GB"/>
              </w:rPr>
              <w:t>Option 1: Remove the measurement restrictions (i.e., remove the following conditions)</w:t>
            </w:r>
          </w:p>
          <w:p w14:paraId="1ECDF0D3" w14:textId="77777777" w:rsidR="00E12BE9" w:rsidRPr="00E12BE9" w:rsidRDefault="00E12BE9" w:rsidP="00E12BE9">
            <w:pPr>
              <w:numPr>
                <w:ilvl w:val="3"/>
                <w:numId w:val="30"/>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lang w:val="en-GB"/>
              </w:rPr>
              <w:t>The two CSI-RS resources and both PDSCHs are overlapped on the same OFDM symbol</w:t>
            </w:r>
          </w:p>
          <w:p w14:paraId="5D9CA305" w14:textId="77777777" w:rsidR="00E12BE9" w:rsidRPr="00E12BE9" w:rsidRDefault="00E12BE9" w:rsidP="00E12BE9">
            <w:pPr>
              <w:numPr>
                <w:ilvl w:val="3"/>
                <w:numId w:val="30"/>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lang w:val="en-GB"/>
              </w:rPr>
              <w:t>The CSI-RS for L1-RSRP has same QCL source as the active TCI state of one PDSCH, and the other CSI-RS has same QCL source as the active TCI state of the other PDSCH</w:t>
            </w:r>
          </w:p>
          <w:p w14:paraId="5D26E4E2" w14:textId="77777777" w:rsidR="00E12BE9" w:rsidRPr="00E12BE9" w:rsidRDefault="00E12BE9" w:rsidP="00E12BE9">
            <w:pPr>
              <w:numPr>
                <w:ilvl w:val="2"/>
                <w:numId w:val="30"/>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lang w:val="en-GB"/>
              </w:rPr>
              <w:t>Option 2: Modify the measurement restrictions</w:t>
            </w:r>
          </w:p>
          <w:p w14:paraId="3827ABC9" w14:textId="77777777" w:rsidR="00E12BE9" w:rsidRPr="00E12BE9" w:rsidRDefault="00E12BE9" w:rsidP="00E12BE9">
            <w:pPr>
              <w:numPr>
                <w:ilvl w:val="3"/>
                <w:numId w:val="30"/>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lang w:val="en-GB"/>
              </w:rPr>
              <w:t>the measurement restriction relaxation can be modified as follows:</w:t>
            </w:r>
          </w:p>
          <w:p w14:paraId="64F61742" w14:textId="77777777" w:rsidR="00E12BE9" w:rsidRPr="00E12BE9" w:rsidRDefault="00E12BE9" w:rsidP="00E12BE9">
            <w:pPr>
              <w:numPr>
                <w:ilvl w:val="4"/>
                <w:numId w:val="30"/>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lang w:val="en-GB"/>
              </w:rPr>
              <w:t>Both the CSI-RS for L1-RSRP and the other CSI-RS are not in any CSI-RS resource set configured with repetition ON, and</w:t>
            </w:r>
          </w:p>
          <w:p w14:paraId="4FE725A1" w14:textId="77777777" w:rsidR="00E12BE9" w:rsidRPr="00E12BE9" w:rsidRDefault="00E12BE9" w:rsidP="00E12BE9">
            <w:pPr>
              <w:numPr>
                <w:ilvl w:val="4"/>
                <w:numId w:val="30"/>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lang w:val="en-GB"/>
              </w:rPr>
              <w:t>Resources of the active TCI states or default QCL assumption as defined in TS38.214 for two PDSCHs have been reported as a resource group in Rel-17 group-based RSRP report, and</w:t>
            </w:r>
          </w:p>
          <w:p w14:paraId="719B657B" w14:textId="77777777" w:rsidR="00E12BE9" w:rsidRPr="00E12BE9" w:rsidRDefault="00E12BE9" w:rsidP="00E12BE9">
            <w:pPr>
              <w:numPr>
                <w:ilvl w:val="4"/>
                <w:numId w:val="30"/>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lang w:val="en-GB"/>
              </w:rPr>
              <w:t>[The two CSI-RSs and both PDSCHs are overlapped on the same OFDM symbol, and]</w:t>
            </w:r>
          </w:p>
          <w:p w14:paraId="71911146" w14:textId="77777777" w:rsidR="00E12BE9" w:rsidRPr="00E12BE9" w:rsidRDefault="00E12BE9" w:rsidP="00E12BE9">
            <w:pPr>
              <w:numPr>
                <w:ilvl w:val="4"/>
                <w:numId w:val="30"/>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lang w:val="en-GB"/>
              </w:rPr>
              <w:t>The CSI-RS for L1-RSRP has same QCL source as the active TCI state/or default QCL assumption of one [PDSCH], and the other CSI-RS has same QCL source as the active TCI state / or default QCL assumption of the other [PDSCH]</w:t>
            </w:r>
          </w:p>
          <w:p w14:paraId="6550925A" w14:textId="77777777" w:rsidR="00E12BE9" w:rsidRPr="00E12BE9" w:rsidRDefault="00E12BE9" w:rsidP="00E12BE9">
            <w:pPr>
              <w:numPr>
                <w:ilvl w:val="1"/>
                <w:numId w:val="30"/>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lang w:val="en-GB"/>
              </w:rPr>
              <w:lastRenderedPageBreak/>
              <w:t>Cross slot scheduling when scheduling offset is larger than timeDurationForQCL</w:t>
            </w:r>
          </w:p>
          <w:p w14:paraId="5F0B8480" w14:textId="77777777" w:rsidR="00E12BE9" w:rsidRPr="00E12BE9" w:rsidRDefault="00E12BE9" w:rsidP="00E12BE9">
            <w:pPr>
              <w:numPr>
                <w:ilvl w:val="2"/>
                <w:numId w:val="30"/>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lang w:val="en-GB"/>
              </w:rPr>
              <w:t>Option 1: Remove the measurement restrictions (i.e., remove the following conditions)</w:t>
            </w:r>
          </w:p>
          <w:p w14:paraId="57E6FB5D" w14:textId="77777777" w:rsidR="00E12BE9" w:rsidRPr="00E12BE9" w:rsidRDefault="00E12BE9" w:rsidP="00E12BE9">
            <w:pPr>
              <w:numPr>
                <w:ilvl w:val="3"/>
                <w:numId w:val="30"/>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lang w:val="en-GB"/>
              </w:rPr>
              <w:t>The two CSI-RS resources and both PDSCHs are overlapped on the same OFDM symbol</w:t>
            </w:r>
          </w:p>
          <w:p w14:paraId="534608F5" w14:textId="77777777" w:rsidR="00E12BE9" w:rsidRPr="00E12BE9" w:rsidRDefault="00E12BE9" w:rsidP="00E12BE9">
            <w:pPr>
              <w:numPr>
                <w:ilvl w:val="3"/>
                <w:numId w:val="30"/>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lang w:val="en-GB"/>
              </w:rPr>
              <w:t>The CSI-RS for L1-RSRP has same QCL source as the active TCI state of one PDSCH, and the other CSI-RS has same QCL source as the active TCI state of the other PDSCH</w:t>
            </w:r>
          </w:p>
          <w:p w14:paraId="40D2879B" w14:textId="77777777" w:rsidR="00E12BE9" w:rsidRPr="00E12BE9" w:rsidRDefault="00E12BE9" w:rsidP="00E12BE9">
            <w:pPr>
              <w:numPr>
                <w:ilvl w:val="2"/>
                <w:numId w:val="30"/>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lang w:val="en-GB"/>
              </w:rPr>
              <w:t xml:space="preserve">Option 2: Modify the measurement restrictions </w:t>
            </w:r>
          </w:p>
          <w:p w14:paraId="67A90EA9" w14:textId="77777777" w:rsidR="00E12BE9" w:rsidRPr="00E12BE9" w:rsidRDefault="00E12BE9" w:rsidP="00E12BE9">
            <w:pPr>
              <w:numPr>
                <w:ilvl w:val="3"/>
                <w:numId w:val="30"/>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lang w:val="en-GB"/>
              </w:rPr>
              <w:t>the measurement restriction relaxation can be modified as follows:</w:t>
            </w:r>
          </w:p>
          <w:p w14:paraId="5BA462ED" w14:textId="77777777" w:rsidR="00E12BE9" w:rsidRPr="00E12BE9" w:rsidRDefault="00E12BE9" w:rsidP="00E12BE9">
            <w:pPr>
              <w:numPr>
                <w:ilvl w:val="4"/>
                <w:numId w:val="30"/>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lang w:val="en-GB"/>
              </w:rPr>
              <w:t>Both the CSI-RS for L1-RSRP and the other CSI-RS are not in any CSI-RS resource set configured with repetition ON, and</w:t>
            </w:r>
          </w:p>
          <w:p w14:paraId="4C740FC3" w14:textId="77777777" w:rsidR="00E12BE9" w:rsidRPr="00E12BE9" w:rsidRDefault="00E12BE9" w:rsidP="00E12BE9">
            <w:pPr>
              <w:numPr>
                <w:ilvl w:val="4"/>
                <w:numId w:val="30"/>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lang w:val="en-GB"/>
              </w:rPr>
              <w:t>Resources of the active TCI states or default QCL assumption as defined in TS38.214 for two PDSCHs have been reported as a resource group in Rel-17 group-based RSRP report, and</w:t>
            </w:r>
          </w:p>
          <w:p w14:paraId="1B8D9ABC" w14:textId="77777777" w:rsidR="00E12BE9" w:rsidRPr="00E12BE9" w:rsidRDefault="00E12BE9" w:rsidP="00E12BE9">
            <w:pPr>
              <w:numPr>
                <w:ilvl w:val="4"/>
                <w:numId w:val="30"/>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lang w:val="en-GB"/>
              </w:rPr>
              <w:t>[The two CSI-RSs and both PDSCHs are overlapped on the same OFDM symbol, and]</w:t>
            </w:r>
          </w:p>
          <w:p w14:paraId="2275F18B" w14:textId="77777777" w:rsidR="00E12BE9" w:rsidRPr="00E12BE9" w:rsidRDefault="00E12BE9" w:rsidP="00E12BE9">
            <w:pPr>
              <w:numPr>
                <w:ilvl w:val="4"/>
                <w:numId w:val="30"/>
              </w:numPr>
              <w:spacing w:after="120"/>
              <w:textAlignment w:val="center"/>
              <w:rPr>
                <w:rFonts w:ascii="Calibri" w:eastAsia="Times New Roman" w:hAnsi="Calibri" w:cs="Calibri"/>
                <w:szCs w:val="20"/>
                <w:lang w:val="en-GB"/>
              </w:rPr>
            </w:pPr>
            <w:r w:rsidRPr="00E12BE9">
              <w:rPr>
                <w:rFonts w:eastAsia="Times New Roman" w:cs="Times New Roman"/>
                <w:color w:val="0070C0"/>
                <w:sz w:val="18"/>
                <w:szCs w:val="18"/>
                <w:lang w:val="en-GB"/>
              </w:rPr>
              <w:t>The CSI-RS for L1-RSRP has same QCL source as the active TCI state/or default QCL assumption of one [PDSCH], and the other CSI-RS has same QCL source as the active TCI state / or default QCL assumption of the other [PDSCH]</w:t>
            </w:r>
          </w:p>
          <w:p w14:paraId="4E0FA2E1" w14:textId="77777777" w:rsidR="00E12BE9" w:rsidRDefault="00E12BE9" w:rsidP="00E12BE9">
            <w:pPr>
              <w:rPr>
                <w:lang w:val="en-GB"/>
              </w:rPr>
            </w:pPr>
          </w:p>
        </w:tc>
      </w:tr>
    </w:tbl>
    <w:p w14:paraId="750E481A" w14:textId="77777777" w:rsidR="00E12BE9" w:rsidRPr="00E12BE9" w:rsidRDefault="00E12BE9" w:rsidP="00E12BE9">
      <w:pPr>
        <w:rPr>
          <w:lang w:val="en-GB"/>
        </w:rPr>
      </w:pPr>
    </w:p>
    <w:p w14:paraId="451902B2" w14:textId="1BA16171" w:rsidR="005F1F51" w:rsidRDefault="005F1F51" w:rsidP="005F1F51">
      <w:r>
        <w:t>Regarding measurement restriction, we try to analyse the reasons why some companies would like to keep the following condition:</w:t>
      </w:r>
    </w:p>
    <w:p w14:paraId="6B893B2E" w14:textId="77777777" w:rsidR="005F1F51" w:rsidRPr="00A255CB" w:rsidRDefault="005F1F51" w:rsidP="005F1F51">
      <w:pPr>
        <w:numPr>
          <w:ilvl w:val="0"/>
          <w:numId w:val="26"/>
        </w:numPr>
        <w:overflowPunct w:val="0"/>
        <w:autoSpaceDE w:val="0"/>
        <w:autoSpaceDN w:val="0"/>
        <w:adjustRightInd w:val="0"/>
        <w:spacing w:after="180" w:line="240" w:lineRule="auto"/>
        <w:textAlignment w:val="baseline"/>
        <w:rPr>
          <w:rFonts w:eastAsia="MS Mincho" w:cs="Times New Roman"/>
          <w:szCs w:val="20"/>
        </w:rPr>
      </w:pPr>
      <w:r w:rsidRPr="00A255CB">
        <w:rPr>
          <w:rFonts w:eastAsia="MS Mincho" w:cs="Times New Roman"/>
          <w:szCs w:val="20"/>
        </w:rPr>
        <w:t>[The two CSI-RS resources and both PDSCHs are overlapped on the same OFDM symbol].</w:t>
      </w:r>
    </w:p>
    <w:p w14:paraId="0AB04FB9" w14:textId="77777777" w:rsidR="005F1F51" w:rsidRDefault="005F1F51" w:rsidP="005F1F51">
      <w:r>
        <w:t>The current text for L1-RSRP measurement restriction contains the following conditions:</w:t>
      </w:r>
    </w:p>
    <w:tbl>
      <w:tblPr>
        <w:tblStyle w:val="TableGrid"/>
        <w:tblW w:w="0" w:type="auto"/>
        <w:tblLook w:val="04A0" w:firstRow="1" w:lastRow="0" w:firstColumn="1" w:lastColumn="0" w:noHBand="0" w:noVBand="1"/>
      </w:tblPr>
      <w:tblGrid>
        <w:gridCol w:w="9617"/>
      </w:tblGrid>
      <w:tr w:rsidR="005F1F51" w14:paraId="4546AC04" w14:textId="77777777">
        <w:tc>
          <w:tcPr>
            <w:tcW w:w="9617" w:type="dxa"/>
          </w:tcPr>
          <w:p w14:paraId="28EF1100" w14:textId="77777777" w:rsidR="005F1F51" w:rsidRDefault="005F1F51">
            <w:r>
              <w:rPr>
                <w:lang w:eastAsia="zh-CN"/>
              </w:rPr>
              <w:t>F</w:t>
            </w:r>
            <w:r>
              <w:rPr>
                <w:color w:val="000000" w:themeColor="text1"/>
                <w:szCs w:val="24"/>
                <w:lang w:eastAsia="zh-CN"/>
              </w:rPr>
              <w:t>or FR2-1,</w:t>
            </w:r>
            <w:r>
              <w:t xml:space="preserve"> when the CSI-RS for L1-RSRP measurement on the one CC is in the same OFDM symbol as another CSI-RS for RLM, BFD, CBD or L1-RSRP measurement on the same CC, UE supporting [multi-Rx capability]</w:t>
            </w:r>
            <w:r w:rsidRPr="005A659F">
              <w:t xml:space="preserve"> </w:t>
            </w:r>
            <w:r>
              <w:t>according to the conditions described in clause 3.6.y shall be able to measure the CSI-RS for L1-RSRP measurement without restriction when the following conditions are met:</w:t>
            </w:r>
          </w:p>
          <w:p w14:paraId="766BE797" w14:textId="77777777" w:rsidR="005F1F51" w:rsidRDefault="005F1F51">
            <w:pPr>
              <w:pStyle w:val="B1"/>
            </w:pPr>
            <w:r>
              <w:t>-</w:t>
            </w:r>
            <w:r>
              <w:tab/>
              <w:t>Both the CSI-RS for L1-RSRP and the other CSI-RS are not in any CSI-RS resource set configured with repetition ON, and</w:t>
            </w:r>
          </w:p>
          <w:p w14:paraId="24A08DB5" w14:textId="77777777" w:rsidR="005F1F51" w:rsidRDefault="005F1F51">
            <w:pPr>
              <w:pStyle w:val="B1"/>
              <w:rPr>
                <w:lang w:eastAsia="zh-CN"/>
              </w:rPr>
            </w:pPr>
            <w:r>
              <w:rPr>
                <w:lang w:eastAsia="zh-CN"/>
              </w:rPr>
              <w:t>-</w:t>
            </w:r>
            <w:r>
              <w:rPr>
                <w:lang w:eastAsia="zh-CN"/>
              </w:rPr>
              <w:tab/>
              <w:t xml:space="preserve">Resources of the active TCI states for two PDSCHs have been reported </w:t>
            </w:r>
            <w:r>
              <w:rPr>
                <w:lang w:eastAsia="ja-JP"/>
              </w:rPr>
              <w:t>as a resource group in Rel-17 group-based RSRP report</w:t>
            </w:r>
            <w:r>
              <w:rPr>
                <w:lang w:eastAsia="zh-CN"/>
              </w:rPr>
              <w:t>, and</w:t>
            </w:r>
          </w:p>
          <w:p w14:paraId="3E692A5A" w14:textId="77777777" w:rsidR="005F1F51" w:rsidRPr="001F670C" w:rsidRDefault="005F1F51">
            <w:pPr>
              <w:pStyle w:val="B2"/>
              <w:ind w:left="568"/>
              <w:rPr>
                <w:color w:val="000000" w:themeColor="text1"/>
              </w:rPr>
            </w:pPr>
            <w:r>
              <w:t>-</w:t>
            </w:r>
            <w:r>
              <w:tab/>
            </w:r>
            <w:r w:rsidRPr="009B10EE">
              <w:rPr>
                <w:highlight w:val="yellow"/>
              </w:rPr>
              <w:t>[</w:t>
            </w:r>
            <w:r w:rsidRPr="009B10EE">
              <w:rPr>
                <w:color w:val="000000"/>
                <w:szCs w:val="24"/>
                <w:highlight w:val="yellow"/>
              </w:rPr>
              <w:t>The two CSI-RSs and both PDSCHs are overlapped on the same OFDM symbol, and]</w:t>
            </w:r>
          </w:p>
          <w:p w14:paraId="638A911D" w14:textId="77777777" w:rsidR="005F1F51" w:rsidRDefault="005F1F51">
            <w:pPr>
              <w:pStyle w:val="B1"/>
              <w:rPr>
                <w:lang w:eastAsia="zh-CN"/>
              </w:rPr>
            </w:pPr>
            <w:r>
              <w:t>-</w:t>
            </w:r>
            <w:r>
              <w:tab/>
            </w:r>
            <w:r w:rsidRPr="009B10EE">
              <w:rPr>
                <w:highlight w:val="yellow"/>
                <w:lang w:eastAsia="zh-CN"/>
              </w:rPr>
              <w:t xml:space="preserve">The </w:t>
            </w:r>
            <w:r w:rsidRPr="009B10EE">
              <w:rPr>
                <w:highlight w:val="yellow"/>
              </w:rPr>
              <w:t xml:space="preserve">CSI-RS for L1-RSRP </w:t>
            </w:r>
            <w:r w:rsidRPr="009B10EE">
              <w:rPr>
                <w:highlight w:val="yellow"/>
                <w:lang w:eastAsia="zh-CN"/>
              </w:rPr>
              <w:t>has same QCL source as the active TCI state of one [PDSCH], and the other CSI-RS has same QCL source as the active TCI state of the other [PDSCH], and</w:t>
            </w:r>
          </w:p>
          <w:p w14:paraId="55EDFE3E" w14:textId="77777777" w:rsidR="005F1F51" w:rsidRDefault="005F1F51">
            <w:pPr>
              <w:pStyle w:val="NO"/>
            </w:pPr>
            <w:r>
              <w:t>Editor’s note 1: FFS the condition CSI-RS(s) and PDSCH(s) are overlapped on the same OFDM symbol(s).</w:t>
            </w:r>
          </w:p>
          <w:p w14:paraId="263F8244" w14:textId="77777777" w:rsidR="005F1F51" w:rsidRDefault="005F1F51">
            <w:pPr>
              <w:pStyle w:val="NO"/>
              <w:rPr>
                <w:lang w:eastAsia="zh-CN"/>
              </w:rPr>
            </w:pPr>
            <w:r>
              <w:t>Editor’s note 2: FFS how to capture UE is activated with multi-Rx operation</w:t>
            </w:r>
            <w:r>
              <w:rPr>
                <w:lang w:eastAsia="zh-CN"/>
              </w:rPr>
              <w:t>.</w:t>
            </w:r>
          </w:p>
          <w:p w14:paraId="6D753A33" w14:textId="77777777" w:rsidR="005F1F51" w:rsidRPr="009B10EE" w:rsidRDefault="005F1F51"/>
        </w:tc>
      </w:tr>
    </w:tbl>
    <w:p w14:paraId="4341E819" w14:textId="77777777" w:rsidR="005F1F51" w:rsidRDefault="005F1F51" w:rsidP="005F1F51"/>
    <w:p w14:paraId="5271EE55" w14:textId="77777777" w:rsidR="005F1F51" w:rsidRDefault="005F1F51" w:rsidP="005F1F51">
      <w:r>
        <w:t xml:space="preserve">In this text we will refer to those conditions as </w:t>
      </w:r>
    </w:p>
    <w:p w14:paraId="77D11841" w14:textId="77777777" w:rsidR="005F1F51" w:rsidRPr="00D04AF8" w:rsidRDefault="005F1F51" w:rsidP="005F1F51">
      <w:pPr>
        <w:pStyle w:val="ListParagraph"/>
        <w:numPr>
          <w:ilvl w:val="0"/>
          <w:numId w:val="26"/>
        </w:numPr>
      </w:pPr>
      <w:r w:rsidRPr="00D04AF8">
        <w:t xml:space="preserve">Condition 1: </w:t>
      </w:r>
      <w:r w:rsidRPr="00D04AF8">
        <w:rPr>
          <w:color w:val="000000"/>
          <w:szCs w:val="24"/>
        </w:rPr>
        <w:t>The two CSI-RSs and both PDSCHs are overlapped on the same OFDM symbol,</w:t>
      </w:r>
    </w:p>
    <w:p w14:paraId="2B9C6C9A" w14:textId="77777777" w:rsidR="005F1F51" w:rsidRPr="00D04AF8" w:rsidRDefault="005F1F51" w:rsidP="005F1F51">
      <w:pPr>
        <w:pStyle w:val="ListParagraph"/>
        <w:numPr>
          <w:ilvl w:val="0"/>
          <w:numId w:val="26"/>
        </w:numPr>
      </w:pPr>
      <w:r w:rsidRPr="00D04AF8">
        <w:t xml:space="preserve">Condition 2: </w:t>
      </w:r>
      <w:r w:rsidRPr="00D04AF8">
        <w:rPr>
          <w:lang w:eastAsia="zh-CN"/>
        </w:rPr>
        <w:t xml:space="preserve">The </w:t>
      </w:r>
      <w:r w:rsidRPr="00D04AF8">
        <w:t xml:space="preserve">CSI-RS for L1-RSRP </w:t>
      </w:r>
      <w:r w:rsidRPr="00D04AF8">
        <w:rPr>
          <w:lang w:eastAsia="zh-CN"/>
        </w:rPr>
        <w:t>has same QCL source as the active TCI state of one [PDSCH], and the other CSI-RS has same QCL source as the active TCI state of the other [PDSCH],</w:t>
      </w:r>
    </w:p>
    <w:p w14:paraId="2AFF1482" w14:textId="77777777" w:rsidR="005F1F51" w:rsidRDefault="005F1F51" w:rsidP="005F1F51">
      <w:r>
        <w:t xml:space="preserve">In our view Condition 1 and Condition 2 have similar impact on the concerns that were presented over the last few meetings. </w:t>
      </w:r>
    </w:p>
    <w:p w14:paraId="16C27A6C" w14:textId="77777777" w:rsidR="005F1F51" w:rsidRDefault="005F1F51" w:rsidP="005F1F51">
      <w:r>
        <w:lastRenderedPageBreak/>
        <w:t xml:space="preserve">One argument in favor of Condition 1 is that the UE might be using a different beam for monitoring CSI-RS than the beam indicated for simultaneous reception if there is no PDSCH overlapping with CSI-RS. That is true if we ignore the agreed scheduling restrictions conditions. When both Conditions 1 and Condition 2 are met, there are no scheduling restrictions, and when that </w:t>
      </w:r>
      <w:proofErr w:type="gramStart"/>
      <w:r>
        <w:t>happens</w:t>
      </w:r>
      <w:proofErr w:type="gramEnd"/>
      <w:r>
        <w:t xml:space="preserve"> the UE is assumed to adopt N=1, otherwise the UE cannot be scheduled on those symbols. </w:t>
      </w:r>
    </w:p>
    <w:p w14:paraId="3DDF47BE" w14:textId="77777777" w:rsidR="005F1F51" w:rsidRDefault="005F1F51" w:rsidP="005F1F51">
      <w:pPr>
        <w:pStyle w:val="RAN4observation0"/>
        <w:ind w:left="0" w:firstLine="0"/>
        <w:rPr>
          <w:lang w:val="en-US"/>
        </w:rPr>
      </w:pPr>
      <w:bookmarkStart w:id="1" w:name="_Toc166511514"/>
      <w:bookmarkStart w:id="2" w:name="_Toc174110899"/>
      <w:r>
        <w:rPr>
          <w:lang w:val="en-US"/>
        </w:rPr>
        <w:t>When scheduling restrictions don’t apply, the expected beam sweeping factor is N=1 for L1 FR2 measurements.</w:t>
      </w:r>
      <w:bookmarkEnd w:id="1"/>
      <w:bookmarkEnd w:id="2"/>
      <w:r>
        <w:rPr>
          <w:lang w:val="en-US"/>
        </w:rPr>
        <w:t xml:space="preserve"> </w:t>
      </w:r>
    </w:p>
    <w:p w14:paraId="39D01AF1" w14:textId="77777777" w:rsidR="005F1F51" w:rsidRDefault="005F1F51" w:rsidP="005F1F51">
      <w:r>
        <w:t xml:space="preserve">If Condition 2 is met, the UE will have to be prepared to receive data on the symbols overlapping with the CSI-RS. In this situation, the TCI states for PDSCH are activated, and the UE </w:t>
      </w:r>
      <w:proofErr w:type="gramStart"/>
      <w:r>
        <w:t>has to</w:t>
      </w:r>
      <w:proofErr w:type="gramEnd"/>
      <w:r>
        <w:t xml:space="preserve"> be prepared to receive data within timedurationForQCL, so there is no chance of doing beam sweeping in that situation. Therefore, when Condition 2 is met, the UE should be using the beam pair that was identified for simultaneous reception through GBBR-r17. </w:t>
      </w:r>
    </w:p>
    <w:p w14:paraId="7FA65DFF" w14:textId="77777777" w:rsidR="005F1F51" w:rsidRDefault="005F1F51" w:rsidP="005F1F51">
      <w:pPr>
        <w:pStyle w:val="RAN4observation0"/>
        <w:ind w:left="0" w:firstLine="0"/>
        <w:rPr>
          <w:lang w:val="en-US"/>
        </w:rPr>
      </w:pPr>
      <w:bookmarkStart w:id="3" w:name="_Toc166511515"/>
      <w:bookmarkStart w:id="4" w:name="_Toc174110900"/>
      <w:r>
        <w:rPr>
          <w:lang w:val="en-US"/>
        </w:rPr>
        <w:t xml:space="preserve">When </w:t>
      </w:r>
      <w:r>
        <w:rPr>
          <w:lang w:eastAsia="zh-CN"/>
        </w:rPr>
        <w:t>t</w:t>
      </w:r>
      <w:r w:rsidRPr="00D04AF8">
        <w:rPr>
          <w:lang w:eastAsia="zh-CN"/>
        </w:rPr>
        <w:t xml:space="preserve">he </w:t>
      </w:r>
      <w:r w:rsidRPr="00D04AF8">
        <w:t xml:space="preserve">CSI-RS for L1-RSRP </w:t>
      </w:r>
      <w:r w:rsidRPr="00D04AF8">
        <w:rPr>
          <w:lang w:eastAsia="zh-CN"/>
        </w:rPr>
        <w:t>has same QCL source as the active TCI state of one PDSCH, and the other CSI-RS has same QCL source as the active TCI state of the other PDSCH,</w:t>
      </w:r>
      <w:r>
        <w:rPr>
          <w:lang w:eastAsia="zh-CN"/>
        </w:rPr>
        <w:t xml:space="preserve"> the UE is expected to use Rx beam pair optimized through GBBR-r17 for simultaneous reception without further beam sweeping.</w:t>
      </w:r>
      <w:bookmarkEnd w:id="3"/>
      <w:bookmarkEnd w:id="4"/>
    </w:p>
    <w:p w14:paraId="2C7106A9" w14:textId="77777777" w:rsidR="005F1F51" w:rsidRDefault="005F1F51" w:rsidP="005F1F51">
      <w:r>
        <w:t xml:space="preserve">One drawback of Condition 1 is that it forces the network to always schedule the UE on top of CSI-RS to avoid the measurement restrictions. When measurement restrictions apply, if the network configures overlapping RSs the RAN4 requirements state that longer delay is expected, and no requirements are defined. For this reason, the network should always avoid meeting the measurement restriction conditions that will imply in no requirements, otherwise the UE behavior is unexpected. This is a very negative condition from the network perspective, scheduling of PDSCH is very dynamic, and it is not desirable that measurement restriction conditions are changing frequently. </w:t>
      </w:r>
    </w:p>
    <w:p w14:paraId="0719412A" w14:textId="77777777" w:rsidR="005F1F51" w:rsidRDefault="005F1F51" w:rsidP="005F1F51">
      <w:pPr>
        <w:pStyle w:val="RAN4observation0"/>
        <w:ind w:left="0" w:firstLine="0"/>
        <w:rPr>
          <w:lang w:val="en-US"/>
        </w:rPr>
      </w:pPr>
      <w:bookmarkStart w:id="5" w:name="_Toc166511516"/>
      <w:bookmarkStart w:id="6" w:name="_Toc174110901"/>
      <w:r>
        <w:rPr>
          <w:lang w:val="en-US"/>
        </w:rPr>
        <w:t xml:space="preserve">When measurement restrictions apply, RAN4 requirements state that longer delay is </w:t>
      </w:r>
      <w:proofErr w:type="gramStart"/>
      <w:r>
        <w:rPr>
          <w:lang w:val="en-US"/>
        </w:rPr>
        <w:t>expected</w:t>
      </w:r>
      <w:proofErr w:type="gramEnd"/>
      <w:r>
        <w:rPr>
          <w:lang w:val="en-US"/>
        </w:rPr>
        <w:t xml:space="preserve"> and no requirements apply.</w:t>
      </w:r>
      <w:bookmarkEnd w:id="5"/>
      <w:bookmarkEnd w:id="6"/>
      <w:r>
        <w:rPr>
          <w:lang w:val="en-US"/>
        </w:rPr>
        <w:t xml:space="preserve"> </w:t>
      </w:r>
    </w:p>
    <w:p w14:paraId="6EE58B79" w14:textId="77777777" w:rsidR="005F1F51" w:rsidRDefault="005F1F51" w:rsidP="005F1F51">
      <w:r>
        <w:fldChar w:fldCharType="begin"/>
      </w:r>
      <w:r>
        <w:instrText xml:space="preserve"> REF _Ref165467715 \h </w:instrText>
      </w:r>
      <w:r>
        <w:fldChar w:fldCharType="separate"/>
      </w:r>
      <w:r>
        <w:t xml:space="preserve">Figure </w:t>
      </w:r>
      <w:r>
        <w:rPr>
          <w:noProof/>
        </w:rPr>
        <w:t>2</w:t>
      </w:r>
      <w:r>
        <w:fldChar w:fldCharType="end"/>
      </w:r>
      <w:r>
        <w:t xml:space="preserve"> shows the interpretation of Condition 1. In that situation the UE reports GBBR with one pair (CSI-RS#0+CSI-RS#1). The network then activates that TCI pair and indicates it. In this figure 2 measurement cycles with 3 samples are shown. In the first measurement cycle the UE collects 3 samples of CSI-RS#0+CSI-RS#1 with PDSCH scheduled on top of it. This case follows exactly Condition 1, and we would have the respective requirements. In the measurement cycle 2, the network doesn’t schedule the UE in the second occasion where CSI-RS#0+CSI-RS#1 </w:t>
      </w:r>
      <w:proofErr w:type="gramStart"/>
      <w:r>
        <w:t>are</w:t>
      </w:r>
      <w:proofErr w:type="gramEnd"/>
      <w:r>
        <w:t xml:space="preserve"> transmitted simultaneously. In that case, there are measurement restrictions for 1 out of 3 CSI-RS transmissions, and the measurement requirements do not apply. </w:t>
      </w:r>
    </w:p>
    <w:p w14:paraId="77248908" w14:textId="77777777" w:rsidR="005F1F51" w:rsidRPr="0086140B" w:rsidRDefault="005F1F51" w:rsidP="005F1F51">
      <w:r>
        <w:fldChar w:fldCharType="begin"/>
      </w:r>
      <w:r>
        <w:instrText xml:space="preserve"> REF _Ref165468167 \h </w:instrText>
      </w:r>
      <w:r>
        <w:fldChar w:fldCharType="separate"/>
      </w:r>
      <w:r>
        <w:t xml:space="preserve">Figure </w:t>
      </w:r>
      <w:r>
        <w:rPr>
          <w:noProof/>
        </w:rPr>
        <w:t>3</w:t>
      </w:r>
      <w:r>
        <w:fldChar w:fldCharType="end"/>
      </w:r>
      <w:r>
        <w:t xml:space="preserve"> shows the same analysis for Condition 2. In that situation there is no problem if few measurements occasions are not overlapping with PDSCH, as long as CSI-RS#0+CSI-RS#1 is co-located with the activated TCI states used for simultaneous reception. </w:t>
      </w:r>
    </w:p>
    <w:p w14:paraId="4FA9DD49" w14:textId="77777777" w:rsidR="005F1F51" w:rsidRDefault="005F1F51" w:rsidP="005F1F51">
      <w:pPr>
        <w:pStyle w:val="RAN4observation0"/>
        <w:ind w:left="0" w:firstLine="0"/>
        <w:rPr>
          <w:lang w:val="en-US"/>
        </w:rPr>
      </w:pPr>
      <w:bookmarkStart w:id="7" w:name="_Toc166511517"/>
      <w:bookmarkStart w:id="8" w:name="_Toc174110902"/>
      <w:r w:rsidRPr="00E2111C">
        <w:rPr>
          <w:lang w:val="en-US"/>
        </w:rPr>
        <w:t>A condition of PDSCH scheduling for measurement restrictions would imply that requirements change for each measurement occasion depending on the scheduling.</w:t>
      </w:r>
      <w:bookmarkEnd w:id="7"/>
      <w:bookmarkEnd w:id="8"/>
      <w:r w:rsidRPr="00E2111C">
        <w:rPr>
          <w:lang w:val="en-US"/>
        </w:rPr>
        <w:t xml:space="preserve"> </w:t>
      </w:r>
    </w:p>
    <w:p w14:paraId="429B0A38" w14:textId="77777777" w:rsidR="005F1F51" w:rsidRPr="00E2111C" w:rsidRDefault="005F1F51" w:rsidP="005F1F51">
      <w:r>
        <w:t xml:space="preserve">Additionally, for Condition 2, we should remove the square brackets around PDSCH. Form the Rel-16 TCI framework, only PDSCH is received simultaneously, so we need dual PDSCH TCI </w:t>
      </w:r>
      <w:proofErr w:type="gramStart"/>
      <w:r>
        <w:t>in order for</w:t>
      </w:r>
      <w:proofErr w:type="gramEnd"/>
      <w:r>
        <w:t xml:space="preserve"> the Condition 2 to make sense. </w:t>
      </w:r>
    </w:p>
    <w:p w14:paraId="50E3D1DF" w14:textId="77777777" w:rsidR="005F1F51" w:rsidRPr="00614DD8" w:rsidRDefault="005F1F51" w:rsidP="005F1F51">
      <w:pPr>
        <w:pStyle w:val="RAN4proposal"/>
        <w:ind w:left="0" w:firstLine="0"/>
      </w:pPr>
      <w:bookmarkStart w:id="9" w:name="_Toc166511518"/>
      <w:bookmarkStart w:id="10" w:name="_Toc174110903"/>
      <w:r w:rsidRPr="332EE201">
        <w:t xml:space="preserve">Measurement restrictions due to </w:t>
      </w:r>
      <w:proofErr w:type="gramStart"/>
      <w:r w:rsidRPr="332EE201">
        <w:t>multi Rx</w:t>
      </w:r>
      <w:proofErr w:type="gramEnd"/>
      <w:r w:rsidRPr="332EE201">
        <w:t xml:space="preserve"> operation are enhanced when the following condition is met: </w:t>
      </w:r>
      <w:r w:rsidRPr="332EE201">
        <w:rPr>
          <w:lang w:eastAsia="zh-CN"/>
        </w:rPr>
        <w:t xml:space="preserve">The </w:t>
      </w:r>
      <w:r>
        <w:t xml:space="preserve">CSI-RS for L1-RSRP </w:t>
      </w:r>
      <w:r w:rsidRPr="332EE201">
        <w:rPr>
          <w:lang w:eastAsia="zh-CN"/>
        </w:rPr>
        <w:t>has same QCL source as the active TCI state of one PDSCH, and the other CSI-RS has same QCL source as the active TCI state of the other PDSCH.</w:t>
      </w:r>
      <w:bookmarkEnd w:id="9"/>
      <w:bookmarkEnd w:id="10"/>
      <w:r w:rsidRPr="332EE201">
        <w:rPr>
          <w:lang w:eastAsia="zh-CN"/>
        </w:rPr>
        <w:t xml:space="preserve"> </w:t>
      </w:r>
    </w:p>
    <w:p w14:paraId="4EF73572" w14:textId="3694705B" w:rsidR="005F1F51" w:rsidRDefault="005F1F51" w:rsidP="005F1F51">
      <w:pPr>
        <w:keepNext/>
      </w:pPr>
    </w:p>
    <w:p w14:paraId="40239482" w14:textId="601B4C48" w:rsidR="003013C1" w:rsidRDefault="003013C1" w:rsidP="005F1F51">
      <w:pPr>
        <w:keepNext/>
      </w:pPr>
      <w:r w:rsidRPr="003013C1">
        <w:rPr>
          <w:noProof/>
        </w:rPr>
        <w:drawing>
          <wp:inline distT="0" distB="0" distL="0" distR="0" wp14:anchorId="1A38F7A0" wp14:editId="60F51E33">
            <wp:extent cx="6113145" cy="6178550"/>
            <wp:effectExtent l="0" t="0" r="1905" b="0"/>
            <wp:docPr id="857365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3145" cy="6178550"/>
                    </a:xfrm>
                    <a:prstGeom prst="rect">
                      <a:avLst/>
                    </a:prstGeom>
                    <a:noFill/>
                    <a:ln>
                      <a:noFill/>
                    </a:ln>
                  </pic:spPr>
                </pic:pic>
              </a:graphicData>
            </a:graphic>
          </wp:inline>
        </w:drawing>
      </w:r>
    </w:p>
    <w:p w14:paraId="7CCA43A8" w14:textId="77777777" w:rsidR="005F1F51" w:rsidRDefault="005F1F51" w:rsidP="005F1F51">
      <w:pPr>
        <w:pStyle w:val="Caption"/>
        <w:jc w:val="left"/>
      </w:pPr>
      <w:bookmarkStart w:id="11" w:name="_Ref165467715"/>
      <w:r>
        <w:t xml:space="preserve">Figure </w:t>
      </w:r>
      <w:r w:rsidR="00475D7C">
        <w:fldChar w:fldCharType="begin"/>
      </w:r>
      <w:r w:rsidR="00475D7C">
        <w:instrText xml:space="preserve"> SEQ Figure \* ARABIC </w:instrText>
      </w:r>
      <w:r w:rsidR="00475D7C">
        <w:fldChar w:fldCharType="separate"/>
      </w:r>
      <w:r>
        <w:rPr>
          <w:noProof/>
        </w:rPr>
        <w:t>2</w:t>
      </w:r>
      <w:r w:rsidR="00475D7C">
        <w:rPr>
          <w:noProof/>
        </w:rPr>
        <w:fldChar w:fldCharType="end"/>
      </w:r>
      <w:bookmarkEnd w:id="11"/>
      <w:r>
        <w:t xml:space="preserve"> Interpretation of Condition 1</w:t>
      </w:r>
    </w:p>
    <w:p w14:paraId="76927DC9" w14:textId="77777777" w:rsidR="005F1F51" w:rsidRDefault="005F1F51" w:rsidP="005F1F51"/>
    <w:p w14:paraId="383BD6A4" w14:textId="68C6132E" w:rsidR="003258ED" w:rsidRDefault="003258ED" w:rsidP="005F1F51">
      <w:pPr>
        <w:keepNext/>
      </w:pPr>
      <w:r>
        <w:rPr>
          <w:noProof/>
        </w:rPr>
        <w:lastRenderedPageBreak/>
        <w:drawing>
          <wp:inline distT="0" distB="0" distL="0" distR="0" wp14:anchorId="03AB9BBF" wp14:editId="2EE38084">
            <wp:extent cx="6304915" cy="6238240"/>
            <wp:effectExtent l="0" t="0" r="635" b="0"/>
            <wp:docPr id="16564511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04915" cy="6238240"/>
                    </a:xfrm>
                    <a:prstGeom prst="rect">
                      <a:avLst/>
                    </a:prstGeom>
                    <a:noFill/>
                  </pic:spPr>
                </pic:pic>
              </a:graphicData>
            </a:graphic>
          </wp:inline>
        </w:drawing>
      </w:r>
    </w:p>
    <w:p w14:paraId="639DF954" w14:textId="77777777" w:rsidR="005F1F51" w:rsidRPr="00614DD8" w:rsidRDefault="005F1F51" w:rsidP="005F1F51">
      <w:pPr>
        <w:pStyle w:val="Caption"/>
        <w:jc w:val="left"/>
      </w:pPr>
      <w:bookmarkStart w:id="12" w:name="_Ref165468167"/>
      <w:r>
        <w:t xml:space="preserve">Figure </w:t>
      </w:r>
      <w:r w:rsidR="00475D7C">
        <w:fldChar w:fldCharType="begin"/>
      </w:r>
      <w:r w:rsidR="00475D7C">
        <w:instrText xml:space="preserve"> SEQ Figure \* ARABIC </w:instrText>
      </w:r>
      <w:r w:rsidR="00475D7C">
        <w:fldChar w:fldCharType="separate"/>
      </w:r>
      <w:r>
        <w:rPr>
          <w:noProof/>
        </w:rPr>
        <w:t>3</w:t>
      </w:r>
      <w:r w:rsidR="00475D7C">
        <w:rPr>
          <w:noProof/>
        </w:rPr>
        <w:fldChar w:fldCharType="end"/>
      </w:r>
      <w:bookmarkEnd w:id="12"/>
      <w:r>
        <w:t xml:space="preserve"> Interpretation of Condition 2</w:t>
      </w:r>
    </w:p>
    <w:p w14:paraId="7C635E52" w14:textId="77777777" w:rsidR="00CF6DB6" w:rsidRDefault="00CF6DB6" w:rsidP="00CF6DB6">
      <w:pPr>
        <w:rPr>
          <w:lang w:val="en-GB"/>
        </w:rPr>
      </w:pPr>
    </w:p>
    <w:p w14:paraId="5B6CC2FC" w14:textId="7C5E7FF4" w:rsidR="00CF6DB6" w:rsidRPr="00CF6DB6" w:rsidRDefault="00CF6DB6" w:rsidP="00CF6DB6">
      <w:pPr>
        <w:pStyle w:val="RAN4H1"/>
      </w:pPr>
      <w:r>
        <w:t>DCI-based TCI state switch</w:t>
      </w:r>
    </w:p>
    <w:p w14:paraId="2B571FCF" w14:textId="77777777" w:rsidR="00B20715" w:rsidRDefault="003F61BC" w:rsidP="003F61BC">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 xml:space="preserve">The following issue about how to handle the intermediate state of the case when DCI-based TCI state in m-DCI happens for one TRP after the other </w:t>
      </w:r>
      <w:r w:rsidR="00B20715">
        <w:rPr>
          <w:rStyle w:val="normaltextrun"/>
          <w:sz w:val="20"/>
          <w:szCs w:val="20"/>
          <w:lang w:val="en-GB"/>
        </w:rPr>
        <w:t>has been FFS for multiple meetings</w:t>
      </w:r>
      <w:r>
        <w:rPr>
          <w:rStyle w:val="normaltextrun"/>
          <w:sz w:val="20"/>
          <w:szCs w:val="20"/>
          <w:lang w:val="en-GB"/>
        </w:rPr>
        <w:t>:</w:t>
      </w:r>
    </w:p>
    <w:p w14:paraId="79C545AB" w14:textId="58D62BB2" w:rsidR="003F61BC" w:rsidRDefault="003F61BC" w:rsidP="003F61BC">
      <w:pPr>
        <w:pStyle w:val="paragraph"/>
        <w:spacing w:before="0" w:beforeAutospacing="0" w:after="0" w:afterAutospacing="0"/>
        <w:textAlignment w:val="baseline"/>
        <w:rPr>
          <w:rStyle w:val="eop"/>
          <w:sz w:val="20"/>
          <w:szCs w:val="20"/>
        </w:rPr>
      </w:pPr>
      <w:r>
        <w:rPr>
          <w:rStyle w:val="eop"/>
          <w:sz w:val="20"/>
          <w:szCs w:val="20"/>
        </w:rPr>
        <w:t> </w:t>
      </w:r>
    </w:p>
    <w:tbl>
      <w:tblPr>
        <w:tblStyle w:val="TableGrid"/>
        <w:tblW w:w="0" w:type="auto"/>
        <w:tblLook w:val="04A0" w:firstRow="1" w:lastRow="0" w:firstColumn="1" w:lastColumn="0" w:noHBand="0" w:noVBand="1"/>
      </w:tblPr>
      <w:tblGrid>
        <w:gridCol w:w="9617"/>
      </w:tblGrid>
      <w:tr w:rsidR="00B20715" w14:paraId="3E7609B5" w14:textId="77777777" w:rsidTr="00B20715">
        <w:tc>
          <w:tcPr>
            <w:tcW w:w="9617" w:type="dxa"/>
          </w:tcPr>
          <w:p w14:paraId="35FF4B54" w14:textId="77777777" w:rsidR="00B20715" w:rsidRPr="00E12BE9" w:rsidRDefault="00B20715" w:rsidP="00B20715">
            <w:pPr>
              <w:rPr>
                <w:sz w:val="18"/>
                <w:szCs w:val="20"/>
              </w:rPr>
            </w:pPr>
            <w:r w:rsidRPr="00E12BE9">
              <w:rPr>
                <w:b/>
                <w:bCs/>
                <w:color w:val="000000"/>
                <w:sz w:val="18"/>
                <w:szCs w:val="18"/>
                <w:u w:val="single"/>
              </w:rPr>
              <w:t>Issue 2-1-1: DCI based dual TCI state switch delay for mDCI:</w:t>
            </w:r>
          </w:p>
          <w:p w14:paraId="1DF9B726" w14:textId="77777777" w:rsidR="00B20715" w:rsidRPr="00E12BE9" w:rsidRDefault="00B20715" w:rsidP="00B20715">
            <w:pPr>
              <w:rPr>
                <w:sz w:val="18"/>
                <w:szCs w:val="20"/>
              </w:rPr>
            </w:pPr>
          </w:p>
          <w:p w14:paraId="0FF3FA49" w14:textId="77777777" w:rsidR="00B20715" w:rsidRPr="00E12BE9" w:rsidRDefault="00B20715" w:rsidP="00B20715">
            <w:pPr>
              <w:rPr>
                <w:sz w:val="18"/>
                <w:szCs w:val="20"/>
              </w:rPr>
            </w:pPr>
            <w:r w:rsidRPr="00E12BE9">
              <w:rPr>
                <w:noProof/>
                <w:sz w:val="18"/>
                <w:szCs w:val="20"/>
              </w:rPr>
              <w:lastRenderedPageBreak/>
              <w:drawing>
                <wp:inline distT="0" distB="0" distL="0" distR="0" wp14:anchorId="5C8328FA" wp14:editId="2EC7E267">
                  <wp:extent cx="4611665" cy="2243797"/>
                  <wp:effectExtent l="19050" t="19050" r="17780" b="23495"/>
                  <wp:docPr id="864679625" name="Picture 1" descr="A close-up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679625" name="Picture 1" descr="A close-up of a diagram&#10;&#10;Description automatically generated"/>
                          <pic:cNvPicPr/>
                        </pic:nvPicPr>
                        <pic:blipFill>
                          <a:blip r:embed="rId17"/>
                          <a:stretch>
                            <a:fillRect/>
                          </a:stretch>
                        </pic:blipFill>
                        <pic:spPr>
                          <a:xfrm>
                            <a:off x="0" y="0"/>
                            <a:ext cx="4621318" cy="2248494"/>
                          </a:xfrm>
                          <a:prstGeom prst="rect">
                            <a:avLst/>
                          </a:prstGeom>
                          <a:ln>
                            <a:solidFill>
                              <a:schemeClr val="accent1"/>
                            </a:solidFill>
                          </a:ln>
                        </pic:spPr>
                      </pic:pic>
                    </a:graphicData>
                  </a:graphic>
                </wp:inline>
              </w:drawing>
            </w:r>
          </w:p>
          <w:p w14:paraId="1DD56EF4" w14:textId="77777777" w:rsidR="00B20715" w:rsidRPr="00E12BE9" w:rsidRDefault="00B20715" w:rsidP="00B20715">
            <w:pPr>
              <w:rPr>
                <w:sz w:val="18"/>
                <w:szCs w:val="20"/>
              </w:rPr>
            </w:pPr>
          </w:p>
          <w:p w14:paraId="200E5578" w14:textId="77777777" w:rsidR="00B20715" w:rsidRPr="00B20715" w:rsidRDefault="00B20715" w:rsidP="00B20715">
            <w:pPr>
              <w:spacing w:after="160" w:line="259" w:lineRule="auto"/>
              <w:rPr>
                <w:color w:val="0070C0"/>
                <w:sz w:val="18"/>
                <w:szCs w:val="18"/>
                <w:lang w:val="en-GB"/>
              </w:rPr>
            </w:pPr>
            <w:r w:rsidRPr="00B20715">
              <w:rPr>
                <w:b/>
                <w:bCs/>
                <w:color w:val="0070C0"/>
                <w:sz w:val="18"/>
                <w:szCs w:val="18"/>
                <w:u w:val="single"/>
                <w:lang w:val="en-GB"/>
              </w:rPr>
              <w:t>Issue 1-4-1: DCI based dual TCI state switch delay for mDCI:</w:t>
            </w:r>
          </w:p>
          <w:p w14:paraId="60F1935D" w14:textId="77777777" w:rsidR="00B20715" w:rsidRPr="00B20715" w:rsidRDefault="00B20715" w:rsidP="00B20715">
            <w:pPr>
              <w:numPr>
                <w:ilvl w:val="0"/>
                <w:numId w:val="24"/>
              </w:numPr>
              <w:spacing w:after="160" w:line="259" w:lineRule="auto"/>
              <w:rPr>
                <w:color w:val="0070C0"/>
                <w:sz w:val="18"/>
                <w:szCs w:val="18"/>
                <w:lang w:val="en-GB"/>
              </w:rPr>
            </w:pPr>
            <w:r w:rsidRPr="00B20715">
              <w:rPr>
                <w:color w:val="0070C0"/>
                <w:sz w:val="18"/>
                <w:szCs w:val="18"/>
                <w:lang w:val="en-GB"/>
              </w:rPr>
              <w:t>Proposals:</w:t>
            </w:r>
          </w:p>
          <w:p w14:paraId="2EAF4E86" w14:textId="77777777" w:rsidR="00B20715" w:rsidRPr="00B20715" w:rsidRDefault="00B20715" w:rsidP="00B20715">
            <w:pPr>
              <w:numPr>
                <w:ilvl w:val="1"/>
                <w:numId w:val="24"/>
              </w:numPr>
              <w:spacing w:after="160" w:line="259" w:lineRule="auto"/>
              <w:rPr>
                <w:color w:val="0070C0"/>
                <w:sz w:val="18"/>
                <w:szCs w:val="18"/>
                <w:lang w:val="en-GB"/>
              </w:rPr>
            </w:pPr>
            <w:r w:rsidRPr="00B20715">
              <w:rPr>
                <w:color w:val="0070C0"/>
                <w:sz w:val="18"/>
                <w:szCs w:val="18"/>
                <w:lang w:val="en-GB"/>
              </w:rPr>
              <w:t>Proposal 1: For DCI based dual TCI state switching in mDCI, the 2 TCI state switching procedures can be treated independently. In other words, UE should be able to receive PDSCH with a target TCI state of which the switching is finished earlier.</w:t>
            </w:r>
          </w:p>
          <w:p w14:paraId="16642833" w14:textId="77777777" w:rsidR="00B20715" w:rsidRPr="00B20715" w:rsidRDefault="00B20715" w:rsidP="00B20715">
            <w:pPr>
              <w:numPr>
                <w:ilvl w:val="1"/>
                <w:numId w:val="24"/>
              </w:numPr>
              <w:spacing w:after="160" w:line="259" w:lineRule="auto"/>
              <w:rPr>
                <w:color w:val="0070C0"/>
                <w:sz w:val="18"/>
                <w:szCs w:val="18"/>
                <w:lang w:val="en-GB"/>
              </w:rPr>
            </w:pPr>
            <w:r w:rsidRPr="00B20715">
              <w:rPr>
                <w:color w:val="0070C0"/>
                <w:sz w:val="18"/>
                <w:szCs w:val="18"/>
                <w:lang w:val="en-GB"/>
              </w:rPr>
              <w:t>Proposal 2: If TCI 1 and TCI 2 are in a beam pair, UE to receive on TCI 1 and TCI 2 between C and D. After D, to receive on TCI 2 and TCI 4. Between C and D, UE capable of multi-Rx can receive overlapping PDSCH 0 and PDSCH 1 simultaneously. Otherwise, UE to receive on TCI 2 alone till D. After D, UE can receive on TCI 2 and TCI 4.</w:t>
            </w:r>
          </w:p>
          <w:p w14:paraId="1B66E4E0" w14:textId="77777777" w:rsidR="00B20715" w:rsidRPr="00B20715" w:rsidRDefault="00B20715" w:rsidP="00B20715">
            <w:pPr>
              <w:numPr>
                <w:ilvl w:val="1"/>
                <w:numId w:val="24"/>
              </w:numPr>
              <w:spacing w:after="160" w:line="259" w:lineRule="auto"/>
              <w:rPr>
                <w:color w:val="0070C0"/>
                <w:sz w:val="18"/>
                <w:szCs w:val="18"/>
                <w:lang w:val="en-GB"/>
              </w:rPr>
            </w:pPr>
            <w:r w:rsidRPr="00B20715">
              <w:rPr>
                <w:color w:val="0070C0"/>
                <w:sz w:val="18"/>
                <w:szCs w:val="18"/>
                <w:lang w:val="en-GB"/>
              </w:rPr>
              <w:t>Proposal 3: No additional requirements are needed for DCI based dual TCI state switch delay for m-DCI.</w:t>
            </w:r>
          </w:p>
          <w:p w14:paraId="55672FA1" w14:textId="77777777" w:rsidR="00B20715" w:rsidRPr="00B20715" w:rsidRDefault="00B20715" w:rsidP="00B20715">
            <w:pPr>
              <w:numPr>
                <w:ilvl w:val="1"/>
                <w:numId w:val="24"/>
              </w:numPr>
              <w:spacing w:after="160" w:line="259" w:lineRule="auto"/>
              <w:rPr>
                <w:color w:val="0070C0"/>
                <w:sz w:val="18"/>
                <w:szCs w:val="18"/>
                <w:lang w:val="en-GB"/>
              </w:rPr>
            </w:pPr>
            <w:r w:rsidRPr="00B20715">
              <w:rPr>
                <w:color w:val="0070C0"/>
                <w:sz w:val="18"/>
                <w:szCs w:val="18"/>
                <w:lang w:val="en-GB"/>
              </w:rPr>
              <w:t>Proposal 4:</w:t>
            </w:r>
          </w:p>
          <w:p w14:paraId="729B0D8D" w14:textId="77777777" w:rsidR="00B20715" w:rsidRPr="00B20715" w:rsidRDefault="00B20715" w:rsidP="00B20715">
            <w:pPr>
              <w:numPr>
                <w:ilvl w:val="2"/>
                <w:numId w:val="24"/>
              </w:numPr>
              <w:spacing w:after="160" w:line="259" w:lineRule="auto"/>
              <w:rPr>
                <w:color w:val="0070C0"/>
                <w:sz w:val="18"/>
                <w:szCs w:val="18"/>
                <w:lang w:val="en-GB"/>
              </w:rPr>
            </w:pPr>
            <w:r w:rsidRPr="00B20715">
              <w:rPr>
                <w:color w:val="0070C0"/>
                <w:sz w:val="18"/>
                <w:szCs w:val="18"/>
                <w:lang w:val="en-GB"/>
              </w:rPr>
              <w:t xml:space="preserve">For mDCI based dual DCI state switch, TCI state switch on each coreset is independent without any restriction on the DCI reception. </w:t>
            </w:r>
          </w:p>
          <w:p w14:paraId="4163C0CD" w14:textId="77777777" w:rsidR="00B20715" w:rsidRPr="00B20715" w:rsidRDefault="00B20715" w:rsidP="00B20715">
            <w:pPr>
              <w:numPr>
                <w:ilvl w:val="2"/>
                <w:numId w:val="24"/>
              </w:numPr>
              <w:spacing w:after="160" w:line="259" w:lineRule="auto"/>
              <w:rPr>
                <w:color w:val="0070C0"/>
                <w:sz w:val="18"/>
                <w:szCs w:val="18"/>
                <w:lang w:val="en-GB"/>
              </w:rPr>
            </w:pPr>
            <w:r w:rsidRPr="00B20715">
              <w:rPr>
                <w:color w:val="0070C0"/>
                <w:sz w:val="18"/>
                <w:szCs w:val="18"/>
                <w:lang w:val="en-GB"/>
              </w:rPr>
              <w:t xml:space="preserve">Between point C and D, UE to receive on TCI state 0 alone, if new TCI state 0 and old TCI state 1 are not in a beam pair. </w:t>
            </w:r>
          </w:p>
          <w:p w14:paraId="2AE84593" w14:textId="77777777" w:rsidR="00B20715" w:rsidRPr="00B20715" w:rsidRDefault="00B20715" w:rsidP="00B20715">
            <w:pPr>
              <w:numPr>
                <w:ilvl w:val="1"/>
                <w:numId w:val="24"/>
              </w:numPr>
              <w:spacing w:after="160" w:line="259" w:lineRule="auto"/>
              <w:rPr>
                <w:color w:val="0070C0"/>
                <w:sz w:val="18"/>
                <w:szCs w:val="18"/>
                <w:lang w:val="en-GB"/>
              </w:rPr>
            </w:pPr>
            <w:r w:rsidRPr="00B20715">
              <w:rPr>
                <w:color w:val="0070C0"/>
                <w:sz w:val="18"/>
                <w:szCs w:val="18"/>
                <w:lang w:val="en-GB"/>
              </w:rPr>
              <w:t xml:space="preserve">Proposal 5: </w:t>
            </w:r>
          </w:p>
          <w:p w14:paraId="2BC1EEB9" w14:textId="77777777" w:rsidR="00B20715" w:rsidRPr="00B20715" w:rsidRDefault="00B20715" w:rsidP="00B20715">
            <w:pPr>
              <w:numPr>
                <w:ilvl w:val="2"/>
                <w:numId w:val="24"/>
              </w:numPr>
              <w:spacing w:after="160" w:line="259" w:lineRule="auto"/>
              <w:rPr>
                <w:color w:val="0070C0"/>
                <w:sz w:val="18"/>
                <w:szCs w:val="18"/>
                <w:lang w:val="en-GB"/>
              </w:rPr>
            </w:pPr>
            <w:r w:rsidRPr="00B20715">
              <w:rPr>
                <w:color w:val="0070C0"/>
                <w:sz w:val="18"/>
                <w:szCs w:val="18"/>
                <w:lang w:val="en-GB"/>
              </w:rPr>
              <w:t xml:space="preserve">Update the DCI based dual TCI state switch for m-DCI with “UE shall be able to receive PDSCHs with target TCI states simultaneously after slot </w:t>
            </w:r>
            <w:proofErr w:type="gramStart"/>
            <w:r w:rsidRPr="00B20715">
              <w:rPr>
                <w:color w:val="0070C0"/>
                <w:sz w:val="18"/>
                <w:szCs w:val="18"/>
                <w:lang w:val="en-GB"/>
              </w:rPr>
              <w:t>max(</w:t>
            </w:r>
            <w:proofErr w:type="gramEnd"/>
            <w:r w:rsidRPr="00B20715">
              <w:rPr>
                <w:color w:val="0070C0"/>
                <w:sz w:val="18"/>
                <w:szCs w:val="18"/>
                <w:lang w:val="en-GB"/>
              </w:rPr>
              <w:t>n1, n2) + timeDurationForQCL</w:t>
            </w:r>
          </w:p>
          <w:p w14:paraId="49EFEC46" w14:textId="77777777" w:rsidR="00B20715" w:rsidRPr="00B20715" w:rsidRDefault="00B20715" w:rsidP="00B20715">
            <w:pPr>
              <w:numPr>
                <w:ilvl w:val="2"/>
                <w:numId w:val="24"/>
              </w:numPr>
              <w:spacing w:after="160" w:line="259" w:lineRule="auto"/>
              <w:rPr>
                <w:color w:val="0070C0"/>
                <w:sz w:val="18"/>
                <w:szCs w:val="18"/>
                <w:lang w:val="en-GB"/>
              </w:rPr>
            </w:pPr>
            <w:r w:rsidRPr="00B20715">
              <w:rPr>
                <w:color w:val="0070C0"/>
                <w:sz w:val="18"/>
                <w:szCs w:val="18"/>
                <w:lang w:val="en-GB"/>
              </w:rPr>
              <w:t>the UE can receive simultaneously TCI 1 and TCI 2 between points C and D if they have been reported as a beam pair using GBBR-17</w:t>
            </w:r>
          </w:p>
          <w:p w14:paraId="144814B2" w14:textId="77777777" w:rsidR="00B20715" w:rsidRPr="00B20715" w:rsidRDefault="00B20715" w:rsidP="00B20715">
            <w:pPr>
              <w:numPr>
                <w:ilvl w:val="0"/>
                <w:numId w:val="24"/>
              </w:numPr>
              <w:spacing w:after="160" w:line="259" w:lineRule="auto"/>
              <w:rPr>
                <w:color w:val="0070C0"/>
                <w:sz w:val="18"/>
                <w:szCs w:val="18"/>
                <w:lang w:val="en-GB"/>
              </w:rPr>
            </w:pPr>
            <w:r w:rsidRPr="00B20715">
              <w:rPr>
                <w:color w:val="0070C0"/>
                <w:sz w:val="18"/>
                <w:szCs w:val="18"/>
                <w:lang w:val="en-GB"/>
              </w:rPr>
              <w:t xml:space="preserve">Recommended WF: </w:t>
            </w:r>
          </w:p>
          <w:p w14:paraId="2C4EAD48" w14:textId="77777777" w:rsidR="00B20715" w:rsidRPr="00B20715" w:rsidRDefault="00B20715" w:rsidP="00B20715">
            <w:pPr>
              <w:numPr>
                <w:ilvl w:val="1"/>
                <w:numId w:val="24"/>
              </w:numPr>
              <w:spacing w:after="160" w:line="259" w:lineRule="auto"/>
              <w:rPr>
                <w:color w:val="0070C0"/>
                <w:sz w:val="18"/>
                <w:szCs w:val="18"/>
                <w:lang w:val="en-GB"/>
              </w:rPr>
            </w:pPr>
            <w:r w:rsidRPr="00B20715">
              <w:rPr>
                <w:color w:val="0070C0"/>
                <w:sz w:val="18"/>
                <w:szCs w:val="18"/>
                <w:lang w:val="en-GB"/>
              </w:rPr>
              <w:t>For DCI based TCI state switch, switching happens within CP and UE can receive entire timeDurationForQCL. Based on this assumption, please discuss following.</w:t>
            </w:r>
          </w:p>
          <w:p w14:paraId="615A7AF8" w14:textId="77777777" w:rsidR="00B20715" w:rsidRPr="00B20715" w:rsidRDefault="00B20715" w:rsidP="00B20715">
            <w:pPr>
              <w:numPr>
                <w:ilvl w:val="0"/>
                <w:numId w:val="24"/>
              </w:numPr>
              <w:spacing w:after="160" w:line="259" w:lineRule="auto"/>
              <w:rPr>
                <w:color w:val="0070C0"/>
                <w:sz w:val="18"/>
                <w:szCs w:val="18"/>
                <w:lang w:val="en-GB"/>
              </w:rPr>
            </w:pPr>
            <w:r w:rsidRPr="00B20715">
              <w:rPr>
                <w:color w:val="0070C0"/>
                <w:sz w:val="18"/>
                <w:szCs w:val="18"/>
                <w:lang w:val="en-GB"/>
              </w:rPr>
              <w:t>Please further discuss whether following is agreeable</w:t>
            </w:r>
          </w:p>
          <w:p w14:paraId="672C77CC" w14:textId="77777777" w:rsidR="00B20715" w:rsidRPr="00B20715" w:rsidRDefault="00B20715" w:rsidP="00B20715">
            <w:pPr>
              <w:numPr>
                <w:ilvl w:val="1"/>
                <w:numId w:val="24"/>
              </w:numPr>
              <w:spacing w:after="160" w:line="259" w:lineRule="auto"/>
              <w:rPr>
                <w:color w:val="0070C0"/>
                <w:sz w:val="18"/>
                <w:szCs w:val="18"/>
                <w:lang w:val="en-GB"/>
              </w:rPr>
            </w:pPr>
            <w:r w:rsidRPr="00B20715">
              <w:rPr>
                <w:color w:val="0070C0"/>
                <w:sz w:val="18"/>
                <w:szCs w:val="18"/>
                <w:lang w:val="en-GB"/>
              </w:rPr>
              <w:t>If TCI 1 and TCI 2 are a beam pair.</w:t>
            </w:r>
          </w:p>
          <w:p w14:paraId="2FFCC90B" w14:textId="77777777" w:rsidR="00B20715" w:rsidRPr="00B20715" w:rsidRDefault="00B20715" w:rsidP="00B20715">
            <w:pPr>
              <w:numPr>
                <w:ilvl w:val="2"/>
                <w:numId w:val="24"/>
              </w:numPr>
              <w:spacing w:after="160" w:line="259" w:lineRule="auto"/>
              <w:rPr>
                <w:color w:val="0070C0"/>
                <w:sz w:val="18"/>
                <w:szCs w:val="18"/>
                <w:lang w:val="en-GB"/>
              </w:rPr>
            </w:pPr>
            <w:r w:rsidRPr="00B20715">
              <w:rPr>
                <w:color w:val="0070C0"/>
                <w:sz w:val="18"/>
                <w:szCs w:val="18"/>
                <w:lang w:val="en-GB"/>
              </w:rPr>
              <w:t>UE to receive on TCI 1 and TCI 2 between C and D. After D, to receive on TCI 2 and TCI 4</w:t>
            </w:r>
          </w:p>
          <w:p w14:paraId="0FB96F1C" w14:textId="77777777" w:rsidR="00B20715" w:rsidRPr="00B20715" w:rsidRDefault="00B20715" w:rsidP="00B20715">
            <w:pPr>
              <w:numPr>
                <w:ilvl w:val="1"/>
                <w:numId w:val="24"/>
              </w:numPr>
              <w:spacing w:after="160" w:line="259" w:lineRule="auto"/>
              <w:rPr>
                <w:color w:val="0070C0"/>
                <w:sz w:val="18"/>
                <w:szCs w:val="18"/>
                <w:lang w:val="en-GB"/>
              </w:rPr>
            </w:pPr>
            <w:r w:rsidRPr="00B20715">
              <w:rPr>
                <w:color w:val="0070C0"/>
                <w:sz w:val="18"/>
                <w:szCs w:val="18"/>
                <w:lang w:val="en-GB"/>
              </w:rPr>
              <w:t>If TCI 1 and TCI 2 are not a beam pair.</w:t>
            </w:r>
          </w:p>
          <w:p w14:paraId="57E83CEB" w14:textId="77777777" w:rsidR="00B20715" w:rsidRPr="00B20715" w:rsidRDefault="00B20715" w:rsidP="00B20715">
            <w:pPr>
              <w:numPr>
                <w:ilvl w:val="2"/>
                <w:numId w:val="24"/>
              </w:numPr>
              <w:spacing w:after="160" w:line="259" w:lineRule="auto"/>
              <w:rPr>
                <w:color w:val="0070C0"/>
                <w:sz w:val="18"/>
                <w:szCs w:val="18"/>
                <w:lang w:val="en-GB"/>
              </w:rPr>
            </w:pPr>
            <w:r w:rsidRPr="00B20715">
              <w:rPr>
                <w:color w:val="0070C0"/>
                <w:sz w:val="18"/>
                <w:szCs w:val="18"/>
                <w:lang w:val="en-GB"/>
              </w:rPr>
              <w:t>No requirements till point D. i.e., UE is not expected to receive on TCI 2 till point D.</w:t>
            </w:r>
          </w:p>
          <w:p w14:paraId="1556CFFE" w14:textId="77777777" w:rsidR="00B20715" w:rsidRDefault="00B20715" w:rsidP="003F61BC">
            <w:pPr>
              <w:pStyle w:val="paragraph"/>
              <w:spacing w:before="0" w:beforeAutospacing="0" w:after="0" w:afterAutospacing="0"/>
              <w:textAlignment w:val="baseline"/>
              <w:rPr>
                <w:sz w:val="20"/>
                <w:szCs w:val="20"/>
              </w:rPr>
            </w:pPr>
          </w:p>
        </w:tc>
      </w:tr>
    </w:tbl>
    <w:p w14:paraId="6659C66E" w14:textId="77777777" w:rsidR="003F61BC" w:rsidRDefault="003F61BC" w:rsidP="003F61BC">
      <w:pPr>
        <w:pStyle w:val="paragraph"/>
        <w:spacing w:before="0" w:beforeAutospacing="0" w:after="0" w:afterAutospacing="0"/>
        <w:textAlignment w:val="baseline"/>
        <w:rPr>
          <w:sz w:val="20"/>
          <w:szCs w:val="20"/>
        </w:rPr>
      </w:pPr>
      <w:r>
        <w:rPr>
          <w:rStyle w:val="eop"/>
          <w:sz w:val="20"/>
          <w:szCs w:val="20"/>
        </w:rPr>
        <w:lastRenderedPageBreak/>
        <w:t> </w:t>
      </w:r>
    </w:p>
    <w:p w14:paraId="1D1E5064" w14:textId="77777777" w:rsidR="003F61BC" w:rsidRDefault="003F61BC" w:rsidP="003F61BC">
      <w:pPr>
        <w:pStyle w:val="paragraph"/>
        <w:spacing w:before="0" w:beforeAutospacing="0" w:after="0" w:afterAutospacing="0"/>
        <w:textAlignment w:val="baseline"/>
        <w:rPr>
          <w:sz w:val="20"/>
          <w:szCs w:val="20"/>
        </w:rPr>
      </w:pPr>
      <w:r>
        <w:rPr>
          <w:rStyle w:val="normaltextrun"/>
          <w:sz w:val="20"/>
          <w:szCs w:val="20"/>
          <w:lang w:val="en-GB"/>
        </w:rPr>
        <w:lastRenderedPageBreak/>
        <w:t>In our view, if TC1 and TCI2 in the above figure are a beam pair then the UE can receive TCI 1 and TCI 2 simultaneously between points C and D. During a DCI based dual TCI state switch in m-DCI, a UE which is initially receiving on two TCI states i.e. TCI 0 and TCI 1, switches from TCI 0  to TCI 2 and is in the process of switching from TCI 1 to TCI 4, can in the interim, receive TCI 1 and TCI2 simultaneously if they form a beam pair, i.e. the RS for TCI 1 and TCI 2 have been reported as a beam pair using GBBR-r17.  </w:t>
      </w:r>
      <w:r>
        <w:rPr>
          <w:rStyle w:val="eop"/>
          <w:sz w:val="20"/>
          <w:szCs w:val="20"/>
        </w:rPr>
        <w:t> </w:t>
      </w:r>
    </w:p>
    <w:p w14:paraId="2EFECB6B" w14:textId="77777777" w:rsidR="003F61BC" w:rsidRDefault="003F61BC" w:rsidP="003F61BC">
      <w:pPr>
        <w:pStyle w:val="paragraph"/>
        <w:spacing w:before="0" w:beforeAutospacing="0" w:after="0" w:afterAutospacing="0"/>
        <w:ind w:left="720"/>
        <w:textAlignment w:val="baseline"/>
        <w:rPr>
          <w:rStyle w:val="normaltextrun"/>
          <w:b/>
          <w:bCs/>
          <w:color w:val="000000"/>
          <w:sz w:val="20"/>
          <w:szCs w:val="20"/>
          <w:lang w:val="en-GB"/>
        </w:rPr>
      </w:pPr>
    </w:p>
    <w:p w14:paraId="7FCE9F75" w14:textId="77777777" w:rsidR="003F61BC" w:rsidRPr="00442274" w:rsidRDefault="003F61BC" w:rsidP="003F61BC">
      <w:pPr>
        <w:pStyle w:val="RAN4proposal"/>
        <w:ind w:left="0" w:firstLine="0"/>
      </w:pPr>
      <w:bookmarkStart w:id="13" w:name="_Toc166511519"/>
      <w:bookmarkStart w:id="14" w:name="_Toc174110904"/>
      <w:r w:rsidRPr="001C6302">
        <w:rPr>
          <w:rStyle w:val="normaltextrun"/>
        </w:rPr>
        <w:t>For Issue 2-1-1, the UE can receive simultaneously TCI 1 and TCI 2 between points C and D if they have been reported as a beam pair using GBBR-17.</w:t>
      </w:r>
      <w:bookmarkEnd w:id="13"/>
      <w:bookmarkEnd w:id="14"/>
      <w:r w:rsidRPr="001C6302">
        <w:rPr>
          <w:rStyle w:val="normaltextrun"/>
        </w:rPr>
        <w:t> </w:t>
      </w:r>
      <w:r w:rsidRPr="001C6302">
        <w:rPr>
          <w:rStyle w:val="eop"/>
        </w:rPr>
        <w:t> </w:t>
      </w:r>
    </w:p>
    <w:p w14:paraId="458A1232" w14:textId="789E200B" w:rsidR="00292CA5" w:rsidRPr="00292CA5" w:rsidRDefault="00AC1018" w:rsidP="00292CA5">
      <w:pPr>
        <w:rPr>
          <w:lang w:val="en-GB"/>
        </w:rPr>
      </w:pPr>
      <w:r>
        <w:rPr>
          <w:lang w:val="en-GB"/>
        </w:rPr>
        <w:t xml:space="preserve">We have provided a text proposal for this </w:t>
      </w:r>
      <w:r w:rsidR="002125B1">
        <w:rPr>
          <w:lang w:val="en-GB"/>
        </w:rPr>
        <w:t>in our CR [2].</w:t>
      </w:r>
    </w:p>
    <w:p w14:paraId="3EB78E3B" w14:textId="77777777" w:rsidR="00255FF7" w:rsidRDefault="00255FF7" w:rsidP="0041077A">
      <w:pPr>
        <w:rPr>
          <w:lang w:val="en-GB"/>
        </w:rPr>
      </w:pPr>
    </w:p>
    <w:p w14:paraId="326F0F96" w14:textId="3A7A2BBE" w:rsidR="0041077A" w:rsidRPr="0041077A" w:rsidRDefault="0041077A" w:rsidP="0041077A">
      <w:pPr>
        <w:rPr>
          <w:lang w:val="en-GB"/>
        </w:rPr>
      </w:pPr>
    </w:p>
    <w:p w14:paraId="3483967D" w14:textId="77777777" w:rsidR="00CD7492" w:rsidRPr="00823BE2" w:rsidRDefault="00CD7492" w:rsidP="00A37002">
      <w:pPr>
        <w:pStyle w:val="RAN4H1"/>
        <w:rPr>
          <w:lang w:val="en-US"/>
        </w:rPr>
      </w:pPr>
      <w:bookmarkStart w:id="15" w:name="_Toc116995848"/>
      <w:r w:rsidRPr="00823BE2">
        <w:rPr>
          <w:lang w:val="en-US"/>
        </w:rPr>
        <w:t>Conclusion</w:t>
      </w:r>
      <w:bookmarkEnd w:id="15"/>
    </w:p>
    <w:p w14:paraId="7152AD7A" w14:textId="143A78E7" w:rsidR="00EB73F7" w:rsidRPr="00EB73F7" w:rsidRDefault="00617326" w:rsidP="005C23A4">
      <w:pPr>
        <w:rPr>
          <w:rStyle w:val="normaltextrun"/>
          <w:color w:val="000000"/>
          <w:shd w:val="clear" w:color="auto" w:fill="FFFFFF"/>
        </w:rPr>
      </w:pPr>
      <w:r>
        <w:rPr>
          <w:rStyle w:val="normaltextrun"/>
          <w:color w:val="000000"/>
          <w:shd w:val="clear" w:color="auto" w:fill="FFFFFF"/>
        </w:rPr>
        <w:t>The</w:t>
      </w:r>
      <w:r w:rsidR="00EB73F7" w:rsidRPr="0B4C8377">
        <w:rPr>
          <w:rStyle w:val="normaltextrun"/>
          <w:color w:val="000000"/>
          <w:shd w:val="clear" w:color="auto" w:fill="FFFFFF"/>
        </w:rPr>
        <w:t xml:space="preserve"> following observations and proposals were made</w:t>
      </w:r>
      <w:r>
        <w:rPr>
          <w:rStyle w:val="normaltextrun"/>
          <w:color w:val="000000"/>
          <w:shd w:val="clear" w:color="auto" w:fill="FFFFFF"/>
        </w:rPr>
        <w:t xml:space="preserve"> in this contribution</w:t>
      </w:r>
      <w:r w:rsidR="00EB73F7" w:rsidRPr="0B4C8377">
        <w:rPr>
          <w:rStyle w:val="normaltextrun"/>
          <w:color w:val="000000"/>
          <w:shd w:val="clear" w:color="auto" w:fill="FFFFFF"/>
        </w:rPr>
        <w:t>: </w:t>
      </w:r>
      <w:r w:rsidR="00EB73F7" w:rsidRPr="00EB73F7">
        <w:rPr>
          <w:rStyle w:val="normaltextrun"/>
        </w:rPr>
        <w:t> </w:t>
      </w:r>
    </w:p>
    <w:p w14:paraId="1681EB27" w14:textId="23F5ECBB" w:rsidR="005778BE" w:rsidRDefault="00A4355E">
      <w:pPr>
        <w:pStyle w:val="TOC4"/>
        <w:rPr>
          <w:rFonts w:asciiTheme="minorHAnsi" w:eastAsiaTheme="minorEastAsia" w:hAnsiTheme="minorHAnsi"/>
          <w:noProof/>
          <w:kern w:val="2"/>
          <w:sz w:val="24"/>
          <w:szCs w:val="24"/>
          <w:lang w:val="en-GB" w:eastAsia="en-GB"/>
          <w14:ligatures w14:val="standardContextual"/>
        </w:rPr>
      </w:pPr>
      <w:r>
        <w:rPr>
          <w:b/>
          <w:i/>
          <w:iCs/>
          <w:noProof/>
        </w:rPr>
        <w:fldChar w:fldCharType="begin"/>
      </w:r>
      <w:r>
        <w:rPr>
          <w:i/>
          <w:iCs/>
          <w:noProof/>
        </w:rPr>
        <w:instrText xml:space="preserve"> TOC \n \h \z \t "RAN4 proposal,5,RAN4 observation,4" </w:instrText>
      </w:r>
      <w:r>
        <w:rPr>
          <w:b/>
          <w:i/>
          <w:iCs/>
          <w:noProof/>
        </w:rPr>
        <w:fldChar w:fldCharType="separate"/>
      </w:r>
      <w:hyperlink w:anchor="_Toc174110899" w:history="1">
        <w:r w:rsidR="005778BE" w:rsidRPr="00317BE5">
          <w:rPr>
            <w:rStyle w:val="Hyperlink"/>
            <w:b/>
            <w:noProof/>
          </w:rPr>
          <w:t>Observation 1:</w:t>
        </w:r>
        <w:r w:rsidR="005778BE" w:rsidRPr="00317BE5">
          <w:rPr>
            <w:rStyle w:val="Hyperlink"/>
            <w:noProof/>
          </w:rPr>
          <w:t xml:space="preserve"> When scheduling restrictions don’t apply, the expected beam sweeping factor is N=1 for L1 FR2 measurements.</w:t>
        </w:r>
      </w:hyperlink>
    </w:p>
    <w:p w14:paraId="1126E9D3" w14:textId="64A743B1" w:rsidR="005778BE" w:rsidRDefault="00475D7C">
      <w:pPr>
        <w:pStyle w:val="TOC4"/>
        <w:rPr>
          <w:rFonts w:asciiTheme="minorHAnsi" w:eastAsiaTheme="minorEastAsia" w:hAnsiTheme="minorHAnsi"/>
          <w:noProof/>
          <w:kern w:val="2"/>
          <w:sz w:val="24"/>
          <w:szCs w:val="24"/>
          <w:lang w:val="en-GB" w:eastAsia="en-GB"/>
          <w14:ligatures w14:val="standardContextual"/>
        </w:rPr>
      </w:pPr>
      <w:hyperlink w:anchor="_Toc174110900" w:history="1">
        <w:r w:rsidR="005778BE" w:rsidRPr="00317BE5">
          <w:rPr>
            <w:rStyle w:val="Hyperlink"/>
            <w:b/>
            <w:noProof/>
          </w:rPr>
          <w:t>Observation 2:</w:t>
        </w:r>
        <w:r w:rsidR="005778BE" w:rsidRPr="00317BE5">
          <w:rPr>
            <w:rStyle w:val="Hyperlink"/>
            <w:noProof/>
          </w:rPr>
          <w:t xml:space="preserve"> When </w:t>
        </w:r>
        <w:r w:rsidR="005778BE" w:rsidRPr="00317BE5">
          <w:rPr>
            <w:rStyle w:val="Hyperlink"/>
            <w:noProof/>
            <w:lang w:eastAsia="zh-CN"/>
          </w:rPr>
          <w:t xml:space="preserve">the </w:t>
        </w:r>
        <w:r w:rsidR="005778BE" w:rsidRPr="00317BE5">
          <w:rPr>
            <w:rStyle w:val="Hyperlink"/>
            <w:noProof/>
          </w:rPr>
          <w:t xml:space="preserve">CSI-RS for L1-RSRP </w:t>
        </w:r>
        <w:r w:rsidR="005778BE" w:rsidRPr="00317BE5">
          <w:rPr>
            <w:rStyle w:val="Hyperlink"/>
            <w:noProof/>
            <w:lang w:eastAsia="zh-CN"/>
          </w:rPr>
          <w:t>has same QCL source as the active TCI state of one PDSCH, and the other CSI-RS has same QCL source as the active TCI state of the other PDSCH, the UE is expected to use Rx beam pair optimized through GBBR-r17 for simultaneous reception without further beam sweeping.</w:t>
        </w:r>
      </w:hyperlink>
    </w:p>
    <w:p w14:paraId="1CE4FA8A" w14:textId="55BA8016" w:rsidR="005778BE" w:rsidRDefault="00475D7C">
      <w:pPr>
        <w:pStyle w:val="TOC4"/>
        <w:rPr>
          <w:rFonts w:asciiTheme="minorHAnsi" w:eastAsiaTheme="minorEastAsia" w:hAnsiTheme="minorHAnsi"/>
          <w:noProof/>
          <w:kern w:val="2"/>
          <w:sz w:val="24"/>
          <w:szCs w:val="24"/>
          <w:lang w:val="en-GB" w:eastAsia="en-GB"/>
          <w14:ligatures w14:val="standardContextual"/>
        </w:rPr>
      </w:pPr>
      <w:hyperlink w:anchor="_Toc174110901" w:history="1">
        <w:r w:rsidR="005778BE" w:rsidRPr="00317BE5">
          <w:rPr>
            <w:rStyle w:val="Hyperlink"/>
            <w:b/>
            <w:noProof/>
          </w:rPr>
          <w:t>Observation 3:</w:t>
        </w:r>
        <w:r w:rsidR="005778BE" w:rsidRPr="00317BE5">
          <w:rPr>
            <w:rStyle w:val="Hyperlink"/>
            <w:noProof/>
          </w:rPr>
          <w:t xml:space="preserve"> When measurement restrictions apply, RAN4 requirements state that longer delay is expected and no requirements apply.</w:t>
        </w:r>
      </w:hyperlink>
    </w:p>
    <w:p w14:paraId="176C48C7" w14:textId="59BAFCE8" w:rsidR="005778BE" w:rsidRDefault="00475D7C">
      <w:pPr>
        <w:pStyle w:val="TOC4"/>
        <w:rPr>
          <w:rFonts w:asciiTheme="minorHAnsi" w:eastAsiaTheme="minorEastAsia" w:hAnsiTheme="minorHAnsi"/>
          <w:noProof/>
          <w:kern w:val="2"/>
          <w:sz w:val="24"/>
          <w:szCs w:val="24"/>
          <w:lang w:val="en-GB" w:eastAsia="en-GB"/>
          <w14:ligatures w14:val="standardContextual"/>
        </w:rPr>
      </w:pPr>
      <w:hyperlink w:anchor="_Toc174110902" w:history="1">
        <w:r w:rsidR="005778BE" w:rsidRPr="00317BE5">
          <w:rPr>
            <w:rStyle w:val="Hyperlink"/>
            <w:b/>
            <w:noProof/>
          </w:rPr>
          <w:t>Observation 4:</w:t>
        </w:r>
        <w:r w:rsidR="005778BE" w:rsidRPr="00317BE5">
          <w:rPr>
            <w:rStyle w:val="Hyperlink"/>
            <w:noProof/>
          </w:rPr>
          <w:t xml:space="preserve"> A condition of PDSCH scheduling for measurement restrictions would imply that requirements change for each measurement occasion depending on the scheduling.</w:t>
        </w:r>
      </w:hyperlink>
    </w:p>
    <w:p w14:paraId="3030C4CF" w14:textId="11AAAD8E" w:rsidR="005778BE" w:rsidRDefault="00475D7C">
      <w:pPr>
        <w:pStyle w:val="TOC5"/>
        <w:rPr>
          <w:rFonts w:asciiTheme="minorHAnsi" w:eastAsiaTheme="minorEastAsia" w:hAnsiTheme="minorHAnsi"/>
          <w:b w:val="0"/>
          <w:noProof/>
          <w:kern w:val="2"/>
          <w:sz w:val="24"/>
          <w:szCs w:val="24"/>
          <w:lang w:val="en-GB" w:eastAsia="en-GB"/>
          <w14:ligatures w14:val="standardContextual"/>
        </w:rPr>
      </w:pPr>
      <w:hyperlink w:anchor="_Toc174110903" w:history="1">
        <w:r w:rsidR="005778BE" w:rsidRPr="00317BE5">
          <w:rPr>
            <w:rStyle w:val="Hyperlink"/>
            <w:noProof/>
          </w:rPr>
          <w:t xml:space="preserve">Proposal 1: Measurement restrictions due to multi Rx operation are enhanced when the following condition is met: </w:t>
        </w:r>
        <w:r w:rsidR="005778BE" w:rsidRPr="00317BE5">
          <w:rPr>
            <w:rStyle w:val="Hyperlink"/>
            <w:noProof/>
            <w:lang w:eastAsia="zh-CN"/>
          </w:rPr>
          <w:t xml:space="preserve">The </w:t>
        </w:r>
        <w:r w:rsidR="005778BE" w:rsidRPr="00317BE5">
          <w:rPr>
            <w:rStyle w:val="Hyperlink"/>
            <w:noProof/>
          </w:rPr>
          <w:t xml:space="preserve">CSI-RS for L1-RSRP </w:t>
        </w:r>
        <w:r w:rsidR="005778BE" w:rsidRPr="00317BE5">
          <w:rPr>
            <w:rStyle w:val="Hyperlink"/>
            <w:noProof/>
            <w:lang w:eastAsia="zh-CN"/>
          </w:rPr>
          <w:t>has same QCL source as the active TCI state of one PDSCH, and the other CSI-RS has same QCL source as the active TCI state of the other PDSCH.</w:t>
        </w:r>
      </w:hyperlink>
    </w:p>
    <w:p w14:paraId="59FB1878" w14:textId="787D97CA" w:rsidR="005778BE" w:rsidRDefault="00475D7C">
      <w:pPr>
        <w:pStyle w:val="TOC5"/>
        <w:rPr>
          <w:rFonts w:asciiTheme="minorHAnsi" w:eastAsiaTheme="minorEastAsia" w:hAnsiTheme="minorHAnsi"/>
          <w:b w:val="0"/>
          <w:noProof/>
          <w:kern w:val="2"/>
          <w:sz w:val="24"/>
          <w:szCs w:val="24"/>
          <w:lang w:val="en-GB" w:eastAsia="en-GB"/>
          <w14:ligatures w14:val="standardContextual"/>
        </w:rPr>
      </w:pPr>
      <w:hyperlink w:anchor="_Toc174110904" w:history="1">
        <w:r w:rsidR="005778BE" w:rsidRPr="00317BE5">
          <w:rPr>
            <w:rStyle w:val="Hyperlink"/>
            <w:noProof/>
          </w:rPr>
          <w:t>Proposal 2: For Issue 2-1-1, the UE can receive simultaneously TCI 1 and TCI 2 between points C and D if they have been reported as a beam pair using GBBR-17.</w:t>
        </w:r>
      </w:hyperlink>
    </w:p>
    <w:p w14:paraId="28FD79A9" w14:textId="10E69EEF" w:rsidR="00617326" w:rsidRDefault="00A4355E" w:rsidP="0060543D">
      <w:pPr>
        <w:pStyle w:val="RAN4H1"/>
        <w:numPr>
          <w:ilvl w:val="0"/>
          <w:numId w:val="0"/>
        </w:numPr>
        <w:ind w:left="360" w:hanging="360"/>
        <w:rPr>
          <w:noProof/>
        </w:rPr>
      </w:pPr>
      <w:r>
        <w:rPr>
          <w:noProof/>
        </w:rPr>
        <w:fldChar w:fldCharType="end"/>
      </w:r>
      <w:bookmarkStart w:id="16" w:name="_Toc116995849"/>
      <w:r w:rsidR="00EA3AF4">
        <w:rPr>
          <w:noProof/>
        </w:rPr>
        <w:t>References</w:t>
      </w:r>
    </w:p>
    <w:p w14:paraId="07ABDFF1" w14:textId="6B9CCCC4" w:rsidR="002125B1" w:rsidRPr="001717F8" w:rsidRDefault="00074CB1" w:rsidP="002125B1">
      <w:pPr>
        <w:rPr>
          <w:lang w:val="en-GB"/>
        </w:rPr>
      </w:pPr>
      <w:r>
        <w:rPr>
          <w:lang w:val="en-GB"/>
        </w:rPr>
        <w:t>[1]</w:t>
      </w:r>
      <w:r w:rsidR="002125B1">
        <w:rPr>
          <w:lang w:val="en-GB"/>
        </w:rPr>
        <w:t xml:space="preserve"> </w:t>
      </w:r>
      <w:r w:rsidR="002125B1" w:rsidRPr="002125B1">
        <w:rPr>
          <w:lang w:val="en-GB"/>
        </w:rPr>
        <w:t>R4-241035</w:t>
      </w:r>
      <w:r w:rsidR="002125B1">
        <w:rPr>
          <w:lang w:val="en-GB"/>
        </w:rPr>
        <w:t xml:space="preserve">6, </w:t>
      </w:r>
      <w:r w:rsidR="002125B1" w:rsidRPr="002125B1">
        <w:rPr>
          <w:lang w:val="en-GB"/>
        </w:rPr>
        <w:t>WF on core maintenance and performance part for multi-Rx, vivo, Ericsson</w:t>
      </w:r>
      <w:r w:rsidR="002125B1">
        <w:rPr>
          <w:lang w:val="en-GB"/>
        </w:rPr>
        <w:t xml:space="preserve">, </w:t>
      </w:r>
      <w:r w:rsidR="002125B1" w:rsidRPr="006E2E64">
        <w:rPr>
          <w:lang w:val="en-GB"/>
        </w:rPr>
        <w:t>3GPP TSG-RAN WG4 Meeting #11</w:t>
      </w:r>
      <w:r w:rsidR="002125B1">
        <w:rPr>
          <w:lang w:val="en-GB"/>
        </w:rPr>
        <w:t xml:space="preserve">1, Fukuoka, </w:t>
      </w:r>
      <w:r w:rsidR="002125B1" w:rsidRPr="001717F8">
        <w:rPr>
          <w:lang w:val="en-GB"/>
        </w:rPr>
        <w:t>Japan, May 2024.</w:t>
      </w:r>
    </w:p>
    <w:p w14:paraId="51972378" w14:textId="6B292151" w:rsidR="00BC4C24" w:rsidRDefault="00CA062A" w:rsidP="00BC4C24">
      <w:pPr>
        <w:rPr>
          <w:noProof/>
        </w:rPr>
      </w:pPr>
      <w:r w:rsidRPr="001717F8">
        <w:rPr>
          <w:lang w:val="en-GB"/>
        </w:rPr>
        <w:t xml:space="preserve">[2] </w:t>
      </w:r>
      <w:r w:rsidR="001717F8" w:rsidRPr="001717F8">
        <w:rPr>
          <w:lang w:val="en-GB"/>
        </w:rPr>
        <w:t>R4-2412492</w:t>
      </w:r>
      <w:r w:rsidR="006E2E64" w:rsidRPr="001717F8">
        <w:rPr>
          <w:lang w:val="en-GB"/>
        </w:rPr>
        <w:t xml:space="preserve">, </w:t>
      </w:r>
      <w:r w:rsidR="000639B2" w:rsidRPr="001717F8">
        <w:t>CR for Rel-18 multi-Rx TCI state switching delay</w:t>
      </w:r>
      <w:r w:rsidR="006E2E64" w:rsidRPr="001717F8">
        <w:rPr>
          <w:lang w:val="en-GB"/>
        </w:rPr>
        <w:t>, Nokia, 3GPP TSG-RAN WG4 Meeting #112, Maastricht, Netherlands, 19-23 August</w:t>
      </w:r>
      <w:r w:rsidR="006E2E64" w:rsidRPr="006E2E64">
        <w:rPr>
          <w:lang w:val="en-GB"/>
        </w:rPr>
        <w:t xml:space="preserve"> 2024</w:t>
      </w:r>
      <w:r w:rsidR="006E2E64">
        <w:rPr>
          <w:lang w:val="en-GB"/>
        </w:rPr>
        <w:t>.</w:t>
      </w:r>
    </w:p>
    <w:p w14:paraId="626650E8" w14:textId="2E3886E4" w:rsidR="00074CB1" w:rsidRPr="00074CB1" w:rsidRDefault="00074CB1" w:rsidP="00074CB1">
      <w:pPr>
        <w:rPr>
          <w:lang w:val="en-GB"/>
        </w:rPr>
      </w:pPr>
    </w:p>
    <w:bookmarkEnd w:id="16"/>
    <w:p w14:paraId="3AE14AA2" w14:textId="77777777" w:rsidR="00617326" w:rsidRDefault="00617326" w:rsidP="00EA3AF4">
      <w:pPr>
        <w:rPr>
          <w:noProof/>
        </w:rPr>
      </w:pPr>
    </w:p>
    <w:sectPr w:rsidR="00617326" w:rsidSect="00234707">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66344" w14:textId="77777777" w:rsidR="007B7967" w:rsidRDefault="007B7967" w:rsidP="00001C9B">
      <w:pPr>
        <w:spacing w:after="0" w:line="240" w:lineRule="auto"/>
      </w:pPr>
      <w:r>
        <w:separator/>
      </w:r>
    </w:p>
  </w:endnote>
  <w:endnote w:type="continuationSeparator" w:id="0">
    <w:p w14:paraId="5D5FC823" w14:textId="77777777" w:rsidR="007B7967" w:rsidRDefault="007B7967" w:rsidP="00001C9B">
      <w:pPr>
        <w:spacing w:after="0" w:line="240" w:lineRule="auto"/>
      </w:pPr>
      <w:r>
        <w:continuationSeparator/>
      </w:r>
    </w:p>
  </w:endnote>
  <w:endnote w:type="continuationNotice" w:id="1">
    <w:p w14:paraId="623755B1" w14:textId="77777777" w:rsidR="007B7967" w:rsidRDefault="007B79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0F4C73" w14:textId="77777777" w:rsidR="007B7967" w:rsidRDefault="007B7967" w:rsidP="00001C9B">
      <w:pPr>
        <w:spacing w:after="0" w:line="240" w:lineRule="auto"/>
      </w:pPr>
      <w:r>
        <w:separator/>
      </w:r>
    </w:p>
  </w:footnote>
  <w:footnote w:type="continuationSeparator" w:id="0">
    <w:p w14:paraId="37825E3C" w14:textId="77777777" w:rsidR="007B7967" w:rsidRDefault="007B7967" w:rsidP="00001C9B">
      <w:pPr>
        <w:spacing w:after="0" w:line="240" w:lineRule="auto"/>
      </w:pPr>
      <w:r>
        <w:continuationSeparator/>
      </w:r>
    </w:p>
  </w:footnote>
  <w:footnote w:type="continuationNotice" w:id="1">
    <w:p w14:paraId="23D7A962" w14:textId="77777777" w:rsidR="007B7967" w:rsidRDefault="007B796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802A3BAA"/>
    <w:lvl w:ilvl="0" w:tplc="48CAC55A">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81DAF"/>
    <w:multiLevelType w:val="multilevel"/>
    <w:tmpl w:val="E124B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2731C2"/>
    <w:multiLevelType w:val="multilevel"/>
    <w:tmpl w:val="50400A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467CC4"/>
    <w:multiLevelType w:val="hybridMultilevel"/>
    <w:tmpl w:val="7876B652"/>
    <w:lvl w:ilvl="0" w:tplc="CBA4DF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5F1C65"/>
    <w:multiLevelType w:val="multilevel"/>
    <w:tmpl w:val="282EB1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D3087F"/>
    <w:multiLevelType w:val="multilevel"/>
    <w:tmpl w:val="2138CA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EC1FF9"/>
    <w:multiLevelType w:val="hybridMultilevel"/>
    <w:tmpl w:val="E42C2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30636F"/>
    <w:multiLevelType w:val="multilevel"/>
    <w:tmpl w:val="CD0024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E745E7"/>
    <w:multiLevelType w:val="multilevel"/>
    <w:tmpl w:val="EF8EDC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901D40"/>
    <w:multiLevelType w:val="multilevel"/>
    <w:tmpl w:val="A678D8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2320B7"/>
    <w:multiLevelType w:val="multilevel"/>
    <w:tmpl w:val="8B9A0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A416DB"/>
    <w:multiLevelType w:val="multilevel"/>
    <w:tmpl w:val="1F6E11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0FE0D6B"/>
    <w:multiLevelType w:val="multilevel"/>
    <w:tmpl w:val="07627A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3792988"/>
    <w:multiLevelType w:val="multilevel"/>
    <w:tmpl w:val="00AAB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FE4657"/>
    <w:multiLevelType w:val="multilevel"/>
    <w:tmpl w:val="46CED7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ind w:left="2880" w:hanging="360"/>
      </w:pPr>
      <w:rPr>
        <w:rFonts w:ascii="Times New Roman" w:eastAsia="Malgun Gothic" w:hAnsi="Times New Roman" w:cs="Times New Roman"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5B5173"/>
    <w:multiLevelType w:val="multilevel"/>
    <w:tmpl w:val="D1D09F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5B17AD"/>
    <w:multiLevelType w:val="multilevel"/>
    <w:tmpl w:val="E4D080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61E0945"/>
    <w:multiLevelType w:val="hybridMultilevel"/>
    <w:tmpl w:val="FFCCE2DC"/>
    <w:lvl w:ilvl="0" w:tplc="5712DF2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B06852"/>
    <w:multiLevelType w:val="multilevel"/>
    <w:tmpl w:val="C396C8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1D618F7"/>
    <w:multiLevelType w:val="multilevel"/>
    <w:tmpl w:val="CE44C3A4"/>
    <w:lvl w:ilvl="0">
      <w:start w:val="1"/>
      <w:numFmt w:val="bullet"/>
      <w:lvlText w:val=""/>
      <w:lvlJc w:val="left"/>
      <w:pPr>
        <w:tabs>
          <w:tab w:val="num" w:pos="0"/>
        </w:tabs>
        <w:ind w:left="0" w:hanging="360"/>
      </w:pPr>
      <w:rPr>
        <w:rFonts w:ascii="Symbol" w:hAnsi="Symbol" w:hint="default"/>
        <w:sz w:val="20"/>
      </w:rPr>
    </w:lvl>
    <w:lvl w:ilvl="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DB57C76"/>
    <w:multiLevelType w:val="multilevel"/>
    <w:tmpl w:val="406497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A358A8"/>
    <w:multiLevelType w:val="multilevel"/>
    <w:tmpl w:val="F67EC8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4A70DC0"/>
    <w:multiLevelType w:val="multilevel"/>
    <w:tmpl w:val="40BE09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D224519"/>
    <w:multiLevelType w:val="hybridMultilevel"/>
    <w:tmpl w:val="54162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2946758">
    <w:abstractNumId w:val="19"/>
  </w:num>
  <w:num w:numId="2" w16cid:durableId="361980072">
    <w:abstractNumId w:val="15"/>
  </w:num>
  <w:num w:numId="3" w16cid:durableId="927813965">
    <w:abstractNumId w:val="18"/>
  </w:num>
  <w:num w:numId="4" w16cid:durableId="917521702">
    <w:abstractNumId w:val="24"/>
  </w:num>
  <w:num w:numId="5" w16cid:durableId="1427069136">
    <w:abstractNumId w:val="0"/>
  </w:num>
  <w:num w:numId="6" w16cid:durableId="1889339423">
    <w:abstractNumId w:val="13"/>
  </w:num>
  <w:num w:numId="7" w16cid:durableId="2112506161">
    <w:abstractNumId w:val="23"/>
  </w:num>
  <w:num w:numId="8" w16cid:durableId="1915047854">
    <w:abstractNumId w:val="9"/>
  </w:num>
  <w:num w:numId="9" w16cid:durableId="967931043">
    <w:abstractNumId w:val="3"/>
  </w:num>
  <w:num w:numId="10" w16cid:durableId="1673142523">
    <w:abstractNumId w:val="26"/>
  </w:num>
  <w:num w:numId="11" w16cid:durableId="171140380">
    <w:abstractNumId w:val="5"/>
  </w:num>
  <w:num w:numId="12" w16cid:durableId="2046589016">
    <w:abstractNumId w:val="11"/>
  </w:num>
  <w:num w:numId="13" w16cid:durableId="1162625115">
    <w:abstractNumId w:val="2"/>
  </w:num>
  <w:num w:numId="14" w16cid:durableId="1951545012">
    <w:abstractNumId w:val="1"/>
  </w:num>
  <w:num w:numId="15" w16cid:durableId="108663684">
    <w:abstractNumId w:val="14"/>
  </w:num>
  <w:num w:numId="16" w16cid:durableId="1889491431">
    <w:abstractNumId w:val="25"/>
  </w:num>
  <w:num w:numId="17" w16cid:durableId="43911237">
    <w:abstractNumId w:val="16"/>
  </w:num>
  <w:num w:numId="18" w16cid:durableId="1036811233">
    <w:abstractNumId w:val="12"/>
  </w:num>
  <w:num w:numId="19" w16cid:durableId="1257056906">
    <w:abstractNumId w:val="4"/>
  </w:num>
  <w:num w:numId="20" w16cid:durableId="1197498769">
    <w:abstractNumId w:val="22"/>
  </w:num>
  <w:num w:numId="21" w16cid:durableId="1702440086">
    <w:abstractNumId w:val="29"/>
  </w:num>
  <w:num w:numId="22" w16cid:durableId="1178616717">
    <w:abstractNumId w:val="21"/>
  </w:num>
  <w:num w:numId="23" w16cid:durableId="1167206546">
    <w:abstractNumId w:val="20"/>
  </w:num>
  <w:num w:numId="24" w16cid:durableId="1070080286">
    <w:abstractNumId w:val="28"/>
  </w:num>
  <w:num w:numId="25" w16cid:durableId="1469392472">
    <w:abstractNumId w:val="7"/>
  </w:num>
  <w:num w:numId="26" w16cid:durableId="104425866">
    <w:abstractNumId w:val="6"/>
  </w:num>
  <w:num w:numId="27" w16cid:durableId="1226331302">
    <w:abstractNumId w:val="17"/>
  </w:num>
  <w:num w:numId="28" w16cid:durableId="385295728">
    <w:abstractNumId w:val="8"/>
  </w:num>
  <w:num w:numId="29" w16cid:durableId="295642699">
    <w:abstractNumId w:val="27"/>
  </w:num>
  <w:num w:numId="30" w16cid:durableId="2015449016">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removePersonalInformation/>
  <w:removeDateAndTime/>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5733D"/>
    <w:rsid w:val="000000DA"/>
    <w:rsid w:val="00001ADA"/>
    <w:rsid w:val="00001B8D"/>
    <w:rsid w:val="00001C9B"/>
    <w:rsid w:val="000023A9"/>
    <w:rsid w:val="000040DC"/>
    <w:rsid w:val="00004C7E"/>
    <w:rsid w:val="00005748"/>
    <w:rsid w:val="000058D0"/>
    <w:rsid w:val="000073D8"/>
    <w:rsid w:val="000075D9"/>
    <w:rsid w:val="000078C7"/>
    <w:rsid w:val="00010155"/>
    <w:rsid w:val="00010810"/>
    <w:rsid w:val="00010937"/>
    <w:rsid w:val="00010FF7"/>
    <w:rsid w:val="00012922"/>
    <w:rsid w:val="00013102"/>
    <w:rsid w:val="000141E3"/>
    <w:rsid w:val="00014A18"/>
    <w:rsid w:val="000151EF"/>
    <w:rsid w:val="00016D2F"/>
    <w:rsid w:val="000175AB"/>
    <w:rsid w:val="0001793A"/>
    <w:rsid w:val="00017E77"/>
    <w:rsid w:val="0002012B"/>
    <w:rsid w:val="0002112A"/>
    <w:rsid w:val="00022915"/>
    <w:rsid w:val="000233AF"/>
    <w:rsid w:val="000239F5"/>
    <w:rsid w:val="0002404C"/>
    <w:rsid w:val="000244F9"/>
    <w:rsid w:val="000256CD"/>
    <w:rsid w:val="000263E4"/>
    <w:rsid w:val="00026CBD"/>
    <w:rsid w:val="00030F9B"/>
    <w:rsid w:val="000335CE"/>
    <w:rsid w:val="000335DB"/>
    <w:rsid w:val="000337D3"/>
    <w:rsid w:val="0003482D"/>
    <w:rsid w:val="00034ACF"/>
    <w:rsid w:val="00034E4E"/>
    <w:rsid w:val="00035CC4"/>
    <w:rsid w:val="00035F26"/>
    <w:rsid w:val="00036018"/>
    <w:rsid w:val="00036B1E"/>
    <w:rsid w:val="00040D27"/>
    <w:rsid w:val="0004385D"/>
    <w:rsid w:val="00043A79"/>
    <w:rsid w:val="000448BB"/>
    <w:rsid w:val="00045CE8"/>
    <w:rsid w:val="0004770F"/>
    <w:rsid w:val="000479B8"/>
    <w:rsid w:val="00050871"/>
    <w:rsid w:val="00050DF7"/>
    <w:rsid w:val="00050E64"/>
    <w:rsid w:val="000510CF"/>
    <w:rsid w:val="000530CA"/>
    <w:rsid w:val="000537BB"/>
    <w:rsid w:val="0005454C"/>
    <w:rsid w:val="000553DA"/>
    <w:rsid w:val="0005657A"/>
    <w:rsid w:val="00056CEA"/>
    <w:rsid w:val="00056F7A"/>
    <w:rsid w:val="000577DD"/>
    <w:rsid w:val="00057C93"/>
    <w:rsid w:val="0006006B"/>
    <w:rsid w:val="00060202"/>
    <w:rsid w:val="00060745"/>
    <w:rsid w:val="00060F5A"/>
    <w:rsid w:val="000611C1"/>
    <w:rsid w:val="000633BE"/>
    <w:rsid w:val="000639B2"/>
    <w:rsid w:val="00064774"/>
    <w:rsid w:val="00064F59"/>
    <w:rsid w:val="000651FB"/>
    <w:rsid w:val="000654F5"/>
    <w:rsid w:val="000659E4"/>
    <w:rsid w:val="0006682F"/>
    <w:rsid w:val="00066CCE"/>
    <w:rsid w:val="0006744B"/>
    <w:rsid w:val="000704DA"/>
    <w:rsid w:val="00070777"/>
    <w:rsid w:val="00072D50"/>
    <w:rsid w:val="00073D89"/>
    <w:rsid w:val="000743BE"/>
    <w:rsid w:val="00074CB1"/>
    <w:rsid w:val="00075635"/>
    <w:rsid w:val="000760A0"/>
    <w:rsid w:val="000765E3"/>
    <w:rsid w:val="00077FAB"/>
    <w:rsid w:val="000803E2"/>
    <w:rsid w:val="00080971"/>
    <w:rsid w:val="00081C9F"/>
    <w:rsid w:val="0008257A"/>
    <w:rsid w:val="00083023"/>
    <w:rsid w:val="00083E4E"/>
    <w:rsid w:val="00084EB6"/>
    <w:rsid w:val="00085297"/>
    <w:rsid w:val="00085593"/>
    <w:rsid w:val="00085949"/>
    <w:rsid w:val="0008612A"/>
    <w:rsid w:val="00087807"/>
    <w:rsid w:val="00090E18"/>
    <w:rsid w:val="00091D89"/>
    <w:rsid w:val="00092956"/>
    <w:rsid w:val="00092B14"/>
    <w:rsid w:val="00093108"/>
    <w:rsid w:val="00093FA2"/>
    <w:rsid w:val="000957D7"/>
    <w:rsid w:val="0009592F"/>
    <w:rsid w:val="000974C8"/>
    <w:rsid w:val="000A0847"/>
    <w:rsid w:val="000A0ABB"/>
    <w:rsid w:val="000A10BC"/>
    <w:rsid w:val="000A129D"/>
    <w:rsid w:val="000A13F2"/>
    <w:rsid w:val="000A542C"/>
    <w:rsid w:val="000A76A2"/>
    <w:rsid w:val="000A7846"/>
    <w:rsid w:val="000B0056"/>
    <w:rsid w:val="000B0314"/>
    <w:rsid w:val="000B082A"/>
    <w:rsid w:val="000B1377"/>
    <w:rsid w:val="000B1ADA"/>
    <w:rsid w:val="000B2995"/>
    <w:rsid w:val="000B3BE6"/>
    <w:rsid w:val="000B4540"/>
    <w:rsid w:val="000B5CC9"/>
    <w:rsid w:val="000B7F79"/>
    <w:rsid w:val="000C0B53"/>
    <w:rsid w:val="000C13A7"/>
    <w:rsid w:val="000C211B"/>
    <w:rsid w:val="000C2684"/>
    <w:rsid w:val="000C2F57"/>
    <w:rsid w:val="000C3C7B"/>
    <w:rsid w:val="000C3CBE"/>
    <w:rsid w:val="000C46E9"/>
    <w:rsid w:val="000C4835"/>
    <w:rsid w:val="000D0E45"/>
    <w:rsid w:val="000D0F93"/>
    <w:rsid w:val="000D1919"/>
    <w:rsid w:val="000D19F0"/>
    <w:rsid w:val="000D2870"/>
    <w:rsid w:val="000D327D"/>
    <w:rsid w:val="000D360E"/>
    <w:rsid w:val="000D4511"/>
    <w:rsid w:val="000D50EC"/>
    <w:rsid w:val="000D57E8"/>
    <w:rsid w:val="000D5A82"/>
    <w:rsid w:val="000D5AC1"/>
    <w:rsid w:val="000D6A7E"/>
    <w:rsid w:val="000D70E5"/>
    <w:rsid w:val="000E18A8"/>
    <w:rsid w:val="000E1A1B"/>
    <w:rsid w:val="000E2D14"/>
    <w:rsid w:val="000E4551"/>
    <w:rsid w:val="000E4CEA"/>
    <w:rsid w:val="000E50EF"/>
    <w:rsid w:val="000E7B39"/>
    <w:rsid w:val="000F04BC"/>
    <w:rsid w:val="000F3171"/>
    <w:rsid w:val="000F3ACB"/>
    <w:rsid w:val="000F4F70"/>
    <w:rsid w:val="000F55EB"/>
    <w:rsid w:val="000F642B"/>
    <w:rsid w:val="000F6A3A"/>
    <w:rsid w:val="000F6DA5"/>
    <w:rsid w:val="000F6FE2"/>
    <w:rsid w:val="000F7546"/>
    <w:rsid w:val="000F780D"/>
    <w:rsid w:val="00100B3D"/>
    <w:rsid w:val="00101608"/>
    <w:rsid w:val="001026E4"/>
    <w:rsid w:val="00102858"/>
    <w:rsid w:val="001036C0"/>
    <w:rsid w:val="00104248"/>
    <w:rsid w:val="00104F69"/>
    <w:rsid w:val="00105357"/>
    <w:rsid w:val="00106416"/>
    <w:rsid w:val="001073DE"/>
    <w:rsid w:val="0010792E"/>
    <w:rsid w:val="00110481"/>
    <w:rsid w:val="00110EF3"/>
    <w:rsid w:val="00112631"/>
    <w:rsid w:val="001127C9"/>
    <w:rsid w:val="001136F9"/>
    <w:rsid w:val="00113EB0"/>
    <w:rsid w:val="00113F59"/>
    <w:rsid w:val="00113FA5"/>
    <w:rsid w:val="00115B88"/>
    <w:rsid w:val="00117930"/>
    <w:rsid w:val="00117A6F"/>
    <w:rsid w:val="00120242"/>
    <w:rsid w:val="0012099E"/>
    <w:rsid w:val="00121986"/>
    <w:rsid w:val="00122FC8"/>
    <w:rsid w:val="0012459C"/>
    <w:rsid w:val="00124630"/>
    <w:rsid w:val="00124960"/>
    <w:rsid w:val="001259D0"/>
    <w:rsid w:val="00125D95"/>
    <w:rsid w:val="001260AD"/>
    <w:rsid w:val="0012682A"/>
    <w:rsid w:val="00126A88"/>
    <w:rsid w:val="001272CA"/>
    <w:rsid w:val="001272F4"/>
    <w:rsid w:val="00127911"/>
    <w:rsid w:val="001306DF"/>
    <w:rsid w:val="0013178F"/>
    <w:rsid w:val="00131CF9"/>
    <w:rsid w:val="00132994"/>
    <w:rsid w:val="00132CA4"/>
    <w:rsid w:val="00132DBB"/>
    <w:rsid w:val="00132F6A"/>
    <w:rsid w:val="00133913"/>
    <w:rsid w:val="001341F2"/>
    <w:rsid w:val="00134C52"/>
    <w:rsid w:val="00135D10"/>
    <w:rsid w:val="00136051"/>
    <w:rsid w:val="0013663B"/>
    <w:rsid w:val="001377E8"/>
    <w:rsid w:val="00140221"/>
    <w:rsid w:val="00140E47"/>
    <w:rsid w:val="00141043"/>
    <w:rsid w:val="0014236A"/>
    <w:rsid w:val="0014317A"/>
    <w:rsid w:val="00143182"/>
    <w:rsid w:val="001448FB"/>
    <w:rsid w:val="00144925"/>
    <w:rsid w:val="001466AC"/>
    <w:rsid w:val="00146C0A"/>
    <w:rsid w:val="00147417"/>
    <w:rsid w:val="0014766A"/>
    <w:rsid w:val="00151E82"/>
    <w:rsid w:val="00152049"/>
    <w:rsid w:val="001525BA"/>
    <w:rsid w:val="00152FC5"/>
    <w:rsid w:val="00153413"/>
    <w:rsid w:val="00153B8C"/>
    <w:rsid w:val="00153DFD"/>
    <w:rsid w:val="001548AB"/>
    <w:rsid w:val="00154D7B"/>
    <w:rsid w:val="00155189"/>
    <w:rsid w:val="001562F1"/>
    <w:rsid w:val="00160E92"/>
    <w:rsid w:val="001610B4"/>
    <w:rsid w:val="001617AD"/>
    <w:rsid w:val="00162269"/>
    <w:rsid w:val="001622D0"/>
    <w:rsid w:val="001623DD"/>
    <w:rsid w:val="00162C32"/>
    <w:rsid w:val="001642FC"/>
    <w:rsid w:val="0016496B"/>
    <w:rsid w:val="001655EA"/>
    <w:rsid w:val="00165E15"/>
    <w:rsid w:val="00165FFF"/>
    <w:rsid w:val="0016665A"/>
    <w:rsid w:val="00166AFF"/>
    <w:rsid w:val="00170BD2"/>
    <w:rsid w:val="00170C6C"/>
    <w:rsid w:val="001717F8"/>
    <w:rsid w:val="00172A78"/>
    <w:rsid w:val="00173F9A"/>
    <w:rsid w:val="001743E2"/>
    <w:rsid w:val="001745F8"/>
    <w:rsid w:val="00174C0C"/>
    <w:rsid w:val="001757EE"/>
    <w:rsid w:val="0017745C"/>
    <w:rsid w:val="00177E12"/>
    <w:rsid w:val="001808D4"/>
    <w:rsid w:val="001808DD"/>
    <w:rsid w:val="00180CE0"/>
    <w:rsid w:val="0018235D"/>
    <w:rsid w:val="00182F12"/>
    <w:rsid w:val="001838CF"/>
    <w:rsid w:val="00184543"/>
    <w:rsid w:val="00184891"/>
    <w:rsid w:val="001860B0"/>
    <w:rsid w:val="00186385"/>
    <w:rsid w:val="001868EE"/>
    <w:rsid w:val="00187E5D"/>
    <w:rsid w:val="00190121"/>
    <w:rsid w:val="00190AF6"/>
    <w:rsid w:val="00191963"/>
    <w:rsid w:val="00192309"/>
    <w:rsid w:val="001947E5"/>
    <w:rsid w:val="001956C5"/>
    <w:rsid w:val="0019572A"/>
    <w:rsid w:val="001964A7"/>
    <w:rsid w:val="00196546"/>
    <w:rsid w:val="00196588"/>
    <w:rsid w:val="00196992"/>
    <w:rsid w:val="00197094"/>
    <w:rsid w:val="001971B9"/>
    <w:rsid w:val="001A0454"/>
    <w:rsid w:val="001A0B92"/>
    <w:rsid w:val="001A1799"/>
    <w:rsid w:val="001A2296"/>
    <w:rsid w:val="001A3BA4"/>
    <w:rsid w:val="001A3BB0"/>
    <w:rsid w:val="001A6D1F"/>
    <w:rsid w:val="001A7865"/>
    <w:rsid w:val="001B02C6"/>
    <w:rsid w:val="001B1125"/>
    <w:rsid w:val="001B2679"/>
    <w:rsid w:val="001B4BEA"/>
    <w:rsid w:val="001B57B8"/>
    <w:rsid w:val="001B58B3"/>
    <w:rsid w:val="001B5A9C"/>
    <w:rsid w:val="001B5FCA"/>
    <w:rsid w:val="001B6BA2"/>
    <w:rsid w:val="001B6E3D"/>
    <w:rsid w:val="001B74D1"/>
    <w:rsid w:val="001B7933"/>
    <w:rsid w:val="001C04FB"/>
    <w:rsid w:val="001C0C06"/>
    <w:rsid w:val="001C0FB1"/>
    <w:rsid w:val="001C1DBE"/>
    <w:rsid w:val="001C4904"/>
    <w:rsid w:val="001C4F1F"/>
    <w:rsid w:val="001C5D2E"/>
    <w:rsid w:val="001C6030"/>
    <w:rsid w:val="001C6555"/>
    <w:rsid w:val="001C7446"/>
    <w:rsid w:val="001C7D50"/>
    <w:rsid w:val="001D00AB"/>
    <w:rsid w:val="001D1A92"/>
    <w:rsid w:val="001D28FD"/>
    <w:rsid w:val="001D35D2"/>
    <w:rsid w:val="001D6C52"/>
    <w:rsid w:val="001D7D50"/>
    <w:rsid w:val="001E0534"/>
    <w:rsid w:val="001E053D"/>
    <w:rsid w:val="001E08DC"/>
    <w:rsid w:val="001E15E9"/>
    <w:rsid w:val="001E26DE"/>
    <w:rsid w:val="001E2EA2"/>
    <w:rsid w:val="001E30EE"/>
    <w:rsid w:val="001E30F6"/>
    <w:rsid w:val="001E32EB"/>
    <w:rsid w:val="001E3B62"/>
    <w:rsid w:val="001E3BFA"/>
    <w:rsid w:val="001E4A7E"/>
    <w:rsid w:val="001E55C4"/>
    <w:rsid w:val="001E6761"/>
    <w:rsid w:val="001E7638"/>
    <w:rsid w:val="001F00CC"/>
    <w:rsid w:val="001F092C"/>
    <w:rsid w:val="001F2104"/>
    <w:rsid w:val="001F2884"/>
    <w:rsid w:val="001F39D0"/>
    <w:rsid w:val="001F4CC0"/>
    <w:rsid w:val="001F4F91"/>
    <w:rsid w:val="00200466"/>
    <w:rsid w:val="0020046C"/>
    <w:rsid w:val="00201639"/>
    <w:rsid w:val="002018B8"/>
    <w:rsid w:val="002019F6"/>
    <w:rsid w:val="00201E22"/>
    <w:rsid w:val="00202497"/>
    <w:rsid w:val="00202CD0"/>
    <w:rsid w:val="002036BB"/>
    <w:rsid w:val="002037F0"/>
    <w:rsid w:val="00203980"/>
    <w:rsid w:val="00203BCF"/>
    <w:rsid w:val="00203F47"/>
    <w:rsid w:val="00204C12"/>
    <w:rsid w:val="00204F34"/>
    <w:rsid w:val="00205BE6"/>
    <w:rsid w:val="00205D00"/>
    <w:rsid w:val="002060FF"/>
    <w:rsid w:val="002064AD"/>
    <w:rsid w:val="00211395"/>
    <w:rsid w:val="002113AC"/>
    <w:rsid w:val="00211487"/>
    <w:rsid w:val="0021149C"/>
    <w:rsid w:val="00211B17"/>
    <w:rsid w:val="00211EE8"/>
    <w:rsid w:val="002125B1"/>
    <w:rsid w:val="002131C1"/>
    <w:rsid w:val="00213A41"/>
    <w:rsid w:val="002141BA"/>
    <w:rsid w:val="002146F6"/>
    <w:rsid w:val="002164BA"/>
    <w:rsid w:val="002173CE"/>
    <w:rsid w:val="00217E0E"/>
    <w:rsid w:val="00217EE5"/>
    <w:rsid w:val="00220A2C"/>
    <w:rsid w:val="00220E3F"/>
    <w:rsid w:val="0022112C"/>
    <w:rsid w:val="0022142F"/>
    <w:rsid w:val="0022173E"/>
    <w:rsid w:val="00221EA3"/>
    <w:rsid w:val="00223319"/>
    <w:rsid w:val="00223A82"/>
    <w:rsid w:val="00223FC3"/>
    <w:rsid w:val="0022475E"/>
    <w:rsid w:val="002260A1"/>
    <w:rsid w:val="00226C0D"/>
    <w:rsid w:val="00227B3C"/>
    <w:rsid w:val="002302D0"/>
    <w:rsid w:val="002311D3"/>
    <w:rsid w:val="00232015"/>
    <w:rsid w:val="00232558"/>
    <w:rsid w:val="00232F8A"/>
    <w:rsid w:val="00233331"/>
    <w:rsid w:val="00233800"/>
    <w:rsid w:val="0023393E"/>
    <w:rsid w:val="002340E7"/>
    <w:rsid w:val="00234707"/>
    <w:rsid w:val="00235F0E"/>
    <w:rsid w:val="00235F2D"/>
    <w:rsid w:val="00235F5C"/>
    <w:rsid w:val="002366CF"/>
    <w:rsid w:val="00241DBB"/>
    <w:rsid w:val="0024211A"/>
    <w:rsid w:val="002439DE"/>
    <w:rsid w:val="00245059"/>
    <w:rsid w:val="00245D50"/>
    <w:rsid w:val="00246B3E"/>
    <w:rsid w:val="0024723B"/>
    <w:rsid w:val="0025038A"/>
    <w:rsid w:val="00251B25"/>
    <w:rsid w:val="0025268D"/>
    <w:rsid w:val="00252B91"/>
    <w:rsid w:val="00252EC7"/>
    <w:rsid w:val="002531C9"/>
    <w:rsid w:val="002542A4"/>
    <w:rsid w:val="00255FF7"/>
    <w:rsid w:val="0025733D"/>
    <w:rsid w:val="00257FA3"/>
    <w:rsid w:val="0026597F"/>
    <w:rsid w:val="002659B2"/>
    <w:rsid w:val="002661D6"/>
    <w:rsid w:val="00266702"/>
    <w:rsid w:val="00270394"/>
    <w:rsid w:val="00270AB4"/>
    <w:rsid w:val="002712C2"/>
    <w:rsid w:val="00271B21"/>
    <w:rsid w:val="00271CC9"/>
    <w:rsid w:val="00272482"/>
    <w:rsid w:val="00272E78"/>
    <w:rsid w:val="00272EF5"/>
    <w:rsid w:val="00273701"/>
    <w:rsid w:val="002738A5"/>
    <w:rsid w:val="00273A52"/>
    <w:rsid w:val="0027508E"/>
    <w:rsid w:val="002751B2"/>
    <w:rsid w:val="00276A69"/>
    <w:rsid w:val="00277A53"/>
    <w:rsid w:val="00277B56"/>
    <w:rsid w:val="002805EC"/>
    <w:rsid w:val="00280A2A"/>
    <w:rsid w:val="002810E1"/>
    <w:rsid w:val="002822EE"/>
    <w:rsid w:val="0028265F"/>
    <w:rsid w:val="002837A1"/>
    <w:rsid w:val="00283A16"/>
    <w:rsid w:val="002844BD"/>
    <w:rsid w:val="00284E1F"/>
    <w:rsid w:val="00284E9A"/>
    <w:rsid w:val="002862B7"/>
    <w:rsid w:val="00286C1C"/>
    <w:rsid w:val="00287C41"/>
    <w:rsid w:val="00290297"/>
    <w:rsid w:val="00290447"/>
    <w:rsid w:val="00292245"/>
    <w:rsid w:val="00292898"/>
    <w:rsid w:val="00292A7F"/>
    <w:rsid w:val="00292BF7"/>
    <w:rsid w:val="00292CA5"/>
    <w:rsid w:val="002952D0"/>
    <w:rsid w:val="00295D40"/>
    <w:rsid w:val="00296004"/>
    <w:rsid w:val="00296534"/>
    <w:rsid w:val="00296FC2"/>
    <w:rsid w:val="002972F5"/>
    <w:rsid w:val="002A03C5"/>
    <w:rsid w:val="002A19F5"/>
    <w:rsid w:val="002A1ECF"/>
    <w:rsid w:val="002A32D8"/>
    <w:rsid w:val="002A354D"/>
    <w:rsid w:val="002A45AB"/>
    <w:rsid w:val="002A47C0"/>
    <w:rsid w:val="002A5891"/>
    <w:rsid w:val="002A62AB"/>
    <w:rsid w:val="002A7545"/>
    <w:rsid w:val="002B0304"/>
    <w:rsid w:val="002B0710"/>
    <w:rsid w:val="002B18C3"/>
    <w:rsid w:val="002B1C64"/>
    <w:rsid w:val="002B282F"/>
    <w:rsid w:val="002B4922"/>
    <w:rsid w:val="002B4BD5"/>
    <w:rsid w:val="002B505D"/>
    <w:rsid w:val="002B628A"/>
    <w:rsid w:val="002C0B28"/>
    <w:rsid w:val="002C1A04"/>
    <w:rsid w:val="002C1DB9"/>
    <w:rsid w:val="002C22C3"/>
    <w:rsid w:val="002C294D"/>
    <w:rsid w:val="002C2D19"/>
    <w:rsid w:val="002C316B"/>
    <w:rsid w:val="002C394F"/>
    <w:rsid w:val="002C3D04"/>
    <w:rsid w:val="002C49B5"/>
    <w:rsid w:val="002C4DB1"/>
    <w:rsid w:val="002C5155"/>
    <w:rsid w:val="002C6730"/>
    <w:rsid w:val="002C692C"/>
    <w:rsid w:val="002D0A27"/>
    <w:rsid w:val="002D10FA"/>
    <w:rsid w:val="002D161B"/>
    <w:rsid w:val="002D1C7C"/>
    <w:rsid w:val="002D3076"/>
    <w:rsid w:val="002D49F0"/>
    <w:rsid w:val="002D4C55"/>
    <w:rsid w:val="002D5084"/>
    <w:rsid w:val="002D51DE"/>
    <w:rsid w:val="002D543C"/>
    <w:rsid w:val="002D5455"/>
    <w:rsid w:val="002D7DD6"/>
    <w:rsid w:val="002E1B16"/>
    <w:rsid w:val="002E283F"/>
    <w:rsid w:val="002E4393"/>
    <w:rsid w:val="002E4518"/>
    <w:rsid w:val="002E6DED"/>
    <w:rsid w:val="002F0F84"/>
    <w:rsid w:val="002F1473"/>
    <w:rsid w:val="002F19FC"/>
    <w:rsid w:val="002F2511"/>
    <w:rsid w:val="002F30E1"/>
    <w:rsid w:val="002F4252"/>
    <w:rsid w:val="002F47CA"/>
    <w:rsid w:val="002F5F53"/>
    <w:rsid w:val="002F6163"/>
    <w:rsid w:val="002F64B7"/>
    <w:rsid w:val="0030058F"/>
    <w:rsid w:val="00300956"/>
    <w:rsid w:val="003013C1"/>
    <w:rsid w:val="0030289E"/>
    <w:rsid w:val="003035C7"/>
    <w:rsid w:val="00303A2B"/>
    <w:rsid w:val="003070C8"/>
    <w:rsid w:val="0030725C"/>
    <w:rsid w:val="003109A8"/>
    <w:rsid w:val="00311931"/>
    <w:rsid w:val="003153D0"/>
    <w:rsid w:val="00315655"/>
    <w:rsid w:val="0031612C"/>
    <w:rsid w:val="00317187"/>
    <w:rsid w:val="00320509"/>
    <w:rsid w:val="003205B1"/>
    <w:rsid w:val="00320748"/>
    <w:rsid w:val="00320C0B"/>
    <w:rsid w:val="003210F6"/>
    <w:rsid w:val="0032141A"/>
    <w:rsid w:val="00321A2F"/>
    <w:rsid w:val="00323C7E"/>
    <w:rsid w:val="0032499A"/>
    <w:rsid w:val="00324D44"/>
    <w:rsid w:val="003258ED"/>
    <w:rsid w:val="00325AE6"/>
    <w:rsid w:val="003319FD"/>
    <w:rsid w:val="003341F7"/>
    <w:rsid w:val="003349CD"/>
    <w:rsid w:val="00334A8D"/>
    <w:rsid w:val="00335299"/>
    <w:rsid w:val="0033545E"/>
    <w:rsid w:val="0034019E"/>
    <w:rsid w:val="00341ADF"/>
    <w:rsid w:val="00341F7F"/>
    <w:rsid w:val="00342811"/>
    <w:rsid w:val="00343F34"/>
    <w:rsid w:val="00345D81"/>
    <w:rsid w:val="00346378"/>
    <w:rsid w:val="00347287"/>
    <w:rsid w:val="00347FEC"/>
    <w:rsid w:val="00351037"/>
    <w:rsid w:val="003517DD"/>
    <w:rsid w:val="00353814"/>
    <w:rsid w:val="00353FB2"/>
    <w:rsid w:val="0035405D"/>
    <w:rsid w:val="00354E2A"/>
    <w:rsid w:val="00356F45"/>
    <w:rsid w:val="0035758D"/>
    <w:rsid w:val="003605A7"/>
    <w:rsid w:val="003617B0"/>
    <w:rsid w:val="0036225A"/>
    <w:rsid w:val="00362616"/>
    <w:rsid w:val="00362675"/>
    <w:rsid w:val="00363164"/>
    <w:rsid w:val="00363272"/>
    <w:rsid w:val="00363B61"/>
    <w:rsid w:val="003645BD"/>
    <w:rsid w:val="00365EFC"/>
    <w:rsid w:val="003660B9"/>
    <w:rsid w:val="00366431"/>
    <w:rsid w:val="00366624"/>
    <w:rsid w:val="00366B74"/>
    <w:rsid w:val="003675A1"/>
    <w:rsid w:val="00370195"/>
    <w:rsid w:val="00370377"/>
    <w:rsid w:val="003709BD"/>
    <w:rsid w:val="0037155F"/>
    <w:rsid w:val="00372309"/>
    <w:rsid w:val="00372C7C"/>
    <w:rsid w:val="00372FC1"/>
    <w:rsid w:val="003733D4"/>
    <w:rsid w:val="00374298"/>
    <w:rsid w:val="00377063"/>
    <w:rsid w:val="00377CA0"/>
    <w:rsid w:val="003800A7"/>
    <w:rsid w:val="00380DC8"/>
    <w:rsid w:val="00380DED"/>
    <w:rsid w:val="003817A3"/>
    <w:rsid w:val="00381E36"/>
    <w:rsid w:val="00385D2A"/>
    <w:rsid w:val="0038669C"/>
    <w:rsid w:val="00386C61"/>
    <w:rsid w:val="00386F88"/>
    <w:rsid w:val="00387ACB"/>
    <w:rsid w:val="00387CAD"/>
    <w:rsid w:val="00391781"/>
    <w:rsid w:val="003928C3"/>
    <w:rsid w:val="00394379"/>
    <w:rsid w:val="00394E95"/>
    <w:rsid w:val="003956A7"/>
    <w:rsid w:val="00395F10"/>
    <w:rsid w:val="00396088"/>
    <w:rsid w:val="00396BA5"/>
    <w:rsid w:val="00396D03"/>
    <w:rsid w:val="00396FB3"/>
    <w:rsid w:val="0039723E"/>
    <w:rsid w:val="003A0BE2"/>
    <w:rsid w:val="003A1739"/>
    <w:rsid w:val="003A3613"/>
    <w:rsid w:val="003A488D"/>
    <w:rsid w:val="003A5192"/>
    <w:rsid w:val="003A546E"/>
    <w:rsid w:val="003A6158"/>
    <w:rsid w:val="003A710A"/>
    <w:rsid w:val="003A7AE3"/>
    <w:rsid w:val="003B069F"/>
    <w:rsid w:val="003B1612"/>
    <w:rsid w:val="003B1A1E"/>
    <w:rsid w:val="003B336B"/>
    <w:rsid w:val="003B4F63"/>
    <w:rsid w:val="003B4F65"/>
    <w:rsid w:val="003B5233"/>
    <w:rsid w:val="003B659E"/>
    <w:rsid w:val="003C000B"/>
    <w:rsid w:val="003C1477"/>
    <w:rsid w:val="003C14DC"/>
    <w:rsid w:val="003C1945"/>
    <w:rsid w:val="003C1997"/>
    <w:rsid w:val="003C1E59"/>
    <w:rsid w:val="003C1F99"/>
    <w:rsid w:val="003C228D"/>
    <w:rsid w:val="003C275E"/>
    <w:rsid w:val="003C27BB"/>
    <w:rsid w:val="003C409B"/>
    <w:rsid w:val="003C4971"/>
    <w:rsid w:val="003C4FDE"/>
    <w:rsid w:val="003C5574"/>
    <w:rsid w:val="003C5D42"/>
    <w:rsid w:val="003C6304"/>
    <w:rsid w:val="003C6FC1"/>
    <w:rsid w:val="003C74C2"/>
    <w:rsid w:val="003C7FA9"/>
    <w:rsid w:val="003D17B9"/>
    <w:rsid w:val="003D29CE"/>
    <w:rsid w:val="003D2F6E"/>
    <w:rsid w:val="003D431E"/>
    <w:rsid w:val="003D5D46"/>
    <w:rsid w:val="003E0158"/>
    <w:rsid w:val="003E082D"/>
    <w:rsid w:val="003E2604"/>
    <w:rsid w:val="003E300A"/>
    <w:rsid w:val="003E34A9"/>
    <w:rsid w:val="003E384D"/>
    <w:rsid w:val="003E3C38"/>
    <w:rsid w:val="003E3F36"/>
    <w:rsid w:val="003E4329"/>
    <w:rsid w:val="003E5141"/>
    <w:rsid w:val="003E5456"/>
    <w:rsid w:val="003E573D"/>
    <w:rsid w:val="003E58DF"/>
    <w:rsid w:val="003E5CAC"/>
    <w:rsid w:val="003E5F7A"/>
    <w:rsid w:val="003E6417"/>
    <w:rsid w:val="003E6804"/>
    <w:rsid w:val="003E6E3F"/>
    <w:rsid w:val="003E6EB2"/>
    <w:rsid w:val="003E7290"/>
    <w:rsid w:val="003F0922"/>
    <w:rsid w:val="003F0B93"/>
    <w:rsid w:val="003F13FC"/>
    <w:rsid w:val="003F1771"/>
    <w:rsid w:val="003F1A46"/>
    <w:rsid w:val="003F1E4D"/>
    <w:rsid w:val="003F1E59"/>
    <w:rsid w:val="003F3EC9"/>
    <w:rsid w:val="003F4D13"/>
    <w:rsid w:val="003F56A7"/>
    <w:rsid w:val="003F56DF"/>
    <w:rsid w:val="003F594D"/>
    <w:rsid w:val="003F61BC"/>
    <w:rsid w:val="003F6902"/>
    <w:rsid w:val="00400FB2"/>
    <w:rsid w:val="004014C5"/>
    <w:rsid w:val="00403018"/>
    <w:rsid w:val="00404C4C"/>
    <w:rsid w:val="004052AB"/>
    <w:rsid w:val="004058C1"/>
    <w:rsid w:val="004060C0"/>
    <w:rsid w:val="00406673"/>
    <w:rsid w:val="0041077A"/>
    <w:rsid w:val="004107D9"/>
    <w:rsid w:val="0041194F"/>
    <w:rsid w:val="00413D31"/>
    <w:rsid w:val="00414022"/>
    <w:rsid w:val="0041423F"/>
    <w:rsid w:val="00414589"/>
    <w:rsid w:val="00414F81"/>
    <w:rsid w:val="004160E9"/>
    <w:rsid w:val="0041630F"/>
    <w:rsid w:val="00416802"/>
    <w:rsid w:val="00416BAE"/>
    <w:rsid w:val="00417270"/>
    <w:rsid w:val="00417456"/>
    <w:rsid w:val="00417D99"/>
    <w:rsid w:val="00417F12"/>
    <w:rsid w:val="00420A49"/>
    <w:rsid w:val="00422B17"/>
    <w:rsid w:val="00422FE3"/>
    <w:rsid w:val="00423401"/>
    <w:rsid w:val="00423813"/>
    <w:rsid w:val="004246F7"/>
    <w:rsid w:val="004254CA"/>
    <w:rsid w:val="00425617"/>
    <w:rsid w:val="004260BF"/>
    <w:rsid w:val="00427436"/>
    <w:rsid w:val="00427657"/>
    <w:rsid w:val="00431AB0"/>
    <w:rsid w:val="00431CB0"/>
    <w:rsid w:val="00431CF1"/>
    <w:rsid w:val="0043297B"/>
    <w:rsid w:val="004339BD"/>
    <w:rsid w:val="00433B6F"/>
    <w:rsid w:val="00436A0F"/>
    <w:rsid w:val="00436EDA"/>
    <w:rsid w:val="00437150"/>
    <w:rsid w:val="0043750A"/>
    <w:rsid w:val="00440477"/>
    <w:rsid w:val="004407DB"/>
    <w:rsid w:val="00441913"/>
    <w:rsid w:val="00442A40"/>
    <w:rsid w:val="00443187"/>
    <w:rsid w:val="00443477"/>
    <w:rsid w:val="004441DA"/>
    <w:rsid w:val="00444789"/>
    <w:rsid w:val="00447304"/>
    <w:rsid w:val="004512F5"/>
    <w:rsid w:val="004518C8"/>
    <w:rsid w:val="004519EB"/>
    <w:rsid w:val="00451F17"/>
    <w:rsid w:val="00452056"/>
    <w:rsid w:val="0045287B"/>
    <w:rsid w:val="00452AA5"/>
    <w:rsid w:val="00453313"/>
    <w:rsid w:val="00453B49"/>
    <w:rsid w:val="00453D02"/>
    <w:rsid w:val="004540BD"/>
    <w:rsid w:val="004544AA"/>
    <w:rsid w:val="004547B9"/>
    <w:rsid w:val="00455ACE"/>
    <w:rsid w:val="0045635B"/>
    <w:rsid w:val="004577FA"/>
    <w:rsid w:val="00457AD9"/>
    <w:rsid w:val="00457B86"/>
    <w:rsid w:val="004616F6"/>
    <w:rsid w:val="00461C57"/>
    <w:rsid w:val="00461F11"/>
    <w:rsid w:val="004629E9"/>
    <w:rsid w:val="00462F52"/>
    <w:rsid w:val="004643EA"/>
    <w:rsid w:val="00465BD9"/>
    <w:rsid w:val="00467240"/>
    <w:rsid w:val="00467C07"/>
    <w:rsid w:val="00467DBE"/>
    <w:rsid w:val="00470B5F"/>
    <w:rsid w:val="00472184"/>
    <w:rsid w:val="00472EA2"/>
    <w:rsid w:val="004732E9"/>
    <w:rsid w:val="0047383D"/>
    <w:rsid w:val="004752F8"/>
    <w:rsid w:val="00475D7C"/>
    <w:rsid w:val="004769C4"/>
    <w:rsid w:val="00480C04"/>
    <w:rsid w:val="00481A4F"/>
    <w:rsid w:val="00481C46"/>
    <w:rsid w:val="00482EAC"/>
    <w:rsid w:val="0048361F"/>
    <w:rsid w:val="00483A22"/>
    <w:rsid w:val="00484029"/>
    <w:rsid w:val="00484A58"/>
    <w:rsid w:val="00484E95"/>
    <w:rsid w:val="004854BB"/>
    <w:rsid w:val="00486C83"/>
    <w:rsid w:val="00486F59"/>
    <w:rsid w:val="00487592"/>
    <w:rsid w:val="00490602"/>
    <w:rsid w:val="00490BEE"/>
    <w:rsid w:val="00492352"/>
    <w:rsid w:val="00492D46"/>
    <w:rsid w:val="00495899"/>
    <w:rsid w:val="00496606"/>
    <w:rsid w:val="004968A0"/>
    <w:rsid w:val="00496B81"/>
    <w:rsid w:val="004978B1"/>
    <w:rsid w:val="004A1243"/>
    <w:rsid w:val="004A1285"/>
    <w:rsid w:val="004A221D"/>
    <w:rsid w:val="004A224D"/>
    <w:rsid w:val="004A34AB"/>
    <w:rsid w:val="004A58EB"/>
    <w:rsid w:val="004B192B"/>
    <w:rsid w:val="004B4BF4"/>
    <w:rsid w:val="004B6321"/>
    <w:rsid w:val="004B7120"/>
    <w:rsid w:val="004C02A8"/>
    <w:rsid w:val="004C322B"/>
    <w:rsid w:val="004C3B30"/>
    <w:rsid w:val="004C41C8"/>
    <w:rsid w:val="004C43AD"/>
    <w:rsid w:val="004C474B"/>
    <w:rsid w:val="004C5BBB"/>
    <w:rsid w:val="004C5C5E"/>
    <w:rsid w:val="004D0152"/>
    <w:rsid w:val="004D0FC4"/>
    <w:rsid w:val="004D3129"/>
    <w:rsid w:val="004D4997"/>
    <w:rsid w:val="004D4FA2"/>
    <w:rsid w:val="004D5488"/>
    <w:rsid w:val="004D5CC2"/>
    <w:rsid w:val="004D62A1"/>
    <w:rsid w:val="004D7B7B"/>
    <w:rsid w:val="004E14EF"/>
    <w:rsid w:val="004E2C4F"/>
    <w:rsid w:val="004E3179"/>
    <w:rsid w:val="004E3ECA"/>
    <w:rsid w:val="004E4D0A"/>
    <w:rsid w:val="004E534C"/>
    <w:rsid w:val="004E5E66"/>
    <w:rsid w:val="004E6117"/>
    <w:rsid w:val="004E6357"/>
    <w:rsid w:val="004E6627"/>
    <w:rsid w:val="004E6741"/>
    <w:rsid w:val="004E78F1"/>
    <w:rsid w:val="004E7ADB"/>
    <w:rsid w:val="004F04B7"/>
    <w:rsid w:val="004F1302"/>
    <w:rsid w:val="004F29DB"/>
    <w:rsid w:val="004F3AA9"/>
    <w:rsid w:val="004F411A"/>
    <w:rsid w:val="004F4EED"/>
    <w:rsid w:val="004F547A"/>
    <w:rsid w:val="004F5D4A"/>
    <w:rsid w:val="004F5EB7"/>
    <w:rsid w:val="004F6C43"/>
    <w:rsid w:val="004F6C63"/>
    <w:rsid w:val="005000C4"/>
    <w:rsid w:val="0050122D"/>
    <w:rsid w:val="00502691"/>
    <w:rsid w:val="00503146"/>
    <w:rsid w:val="005031A4"/>
    <w:rsid w:val="0050393E"/>
    <w:rsid w:val="005039D3"/>
    <w:rsid w:val="00503B4D"/>
    <w:rsid w:val="0050430D"/>
    <w:rsid w:val="00504474"/>
    <w:rsid w:val="00504988"/>
    <w:rsid w:val="00504BDF"/>
    <w:rsid w:val="00504EE9"/>
    <w:rsid w:val="005051F9"/>
    <w:rsid w:val="005058D0"/>
    <w:rsid w:val="00506CA7"/>
    <w:rsid w:val="00506F5C"/>
    <w:rsid w:val="00507643"/>
    <w:rsid w:val="0051027F"/>
    <w:rsid w:val="005106BB"/>
    <w:rsid w:val="00510E39"/>
    <w:rsid w:val="0051104C"/>
    <w:rsid w:val="0051292C"/>
    <w:rsid w:val="00512F6F"/>
    <w:rsid w:val="00514838"/>
    <w:rsid w:val="0051584A"/>
    <w:rsid w:val="0051606C"/>
    <w:rsid w:val="00516186"/>
    <w:rsid w:val="00516D7E"/>
    <w:rsid w:val="0051733D"/>
    <w:rsid w:val="005202B6"/>
    <w:rsid w:val="00520359"/>
    <w:rsid w:val="0052102D"/>
    <w:rsid w:val="00521576"/>
    <w:rsid w:val="00521676"/>
    <w:rsid w:val="00521BAF"/>
    <w:rsid w:val="00522A18"/>
    <w:rsid w:val="005242C0"/>
    <w:rsid w:val="005250E6"/>
    <w:rsid w:val="005277FF"/>
    <w:rsid w:val="0053138D"/>
    <w:rsid w:val="00531880"/>
    <w:rsid w:val="0053271B"/>
    <w:rsid w:val="00532B74"/>
    <w:rsid w:val="005374FB"/>
    <w:rsid w:val="00537503"/>
    <w:rsid w:val="00540082"/>
    <w:rsid w:val="0054015A"/>
    <w:rsid w:val="005403F2"/>
    <w:rsid w:val="00540627"/>
    <w:rsid w:val="00540715"/>
    <w:rsid w:val="005408EF"/>
    <w:rsid w:val="00542AF1"/>
    <w:rsid w:val="00542D23"/>
    <w:rsid w:val="00542EF8"/>
    <w:rsid w:val="0054442C"/>
    <w:rsid w:val="00544510"/>
    <w:rsid w:val="00544AE6"/>
    <w:rsid w:val="005451A9"/>
    <w:rsid w:val="0054600A"/>
    <w:rsid w:val="00546666"/>
    <w:rsid w:val="00546706"/>
    <w:rsid w:val="00546C4D"/>
    <w:rsid w:val="00546FB1"/>
    <w:rsid w:val="00547408"/>
    <w:rsid w:val="00547CBF"/>
    <w:rsid w:val="00547E95"/>
    <w:rsid w:val="00550285"/>
    <w:rsid w:val="00551EAF"/>
    <w:rsid w:val="00552CF0"/>
    <w:rsid w:val="00553935"/>
    <w:rsid w:val="00554093"/>
    <w:rsid w:val="00554C62"/>
    <w:rsid w:val="00556860"/>
    <w:rsid w:val="00556A61"/>
    <w:rsid w:val="00560160"/>
    <w:rsid w:val="0056098A"/>
    <w:rsid w:val="00562492"/>
    <w:rsid w:val="00562B74"/>
    <w:rsid w:val="00563198"/>
    <w:rsid w:val="00563A38"/>
    <w:rsid w:val="00565233"/>
    <w:rsid w:val="00565294"/>
    <w:rsid w:val="005677A2"/>
    <w:rsid w:val="00567AFD"/>
    <w:rsid w:val="0057041F"/>
    <w:rsid w:val="0057150D"/>
    <w:rsid w:val="0057220E"/>
    <w:rsid w:val="005723B2"/>
    <w:rsid w:val="005729CA"/>
    <w:rsid w:val="00572A20"/>
    <w:rsid w:val="00572F30"/>
    <w:rsid w:val="005731C5"/>
    <w:rsid w:val="0057348F"/>
    <w:rsid w:val="00574177"/>
    <w:rsid w:val="005741AE"/>
    <w:rsid w:val="00575BDB"/>
    <w:rsid w:val="0057703E"/>
    <w:rsid w:val="005778BE"/>
    <w:rsid w:val="00577FFD"/>
    <w:rsid w:val="0058077A"/>
    <w:rsid w:val="00580B4C"/>
    <w:rsid w:val="00581B52"/>
    <w:rsid w:val="00582803"/>
    <w:rsid w:val="0058330B"/>
    <w:rsid w:val="005833CF"/>
    <w:rsid w:val="005836F8"/>
    <w:rsid w:val="00583A3A"/>
    <w:rsid w:val="0058425E"/>
    <w:rsid w:val="00586C30"/>
    <w:rsid w:val="00587185"/>
    <w:rsid w:val="00587F70"/>
    <w:rsid w:val="00590117"/>
    <w:rsid w:val="0059098B"/>
    <w:rsid w:val="0059176D"/>
    <w:rsid w:val="005918FA"/>
    <w:rsid w:val="005919D9"/>
    <w:rsid w:val="00591AFA"/>
    <w:rsid w:val="00592439"/>
    <w:rsid w:val="00592A86"/>
    <w:rsid w:val="00593757"/>
    <w:rsid w:val="00593828"/>
    <w:rsid w:val="00593CE3"/>
    <w:rsid w:val="00594880"/>
    <w:rsid w:val="005959FB"/>
    <w:rsid w:val="005966D1"/>
    <w:rsid w:val="00597A4C"/>
    <w:rsid w:val="005A0D03"/>
    <w:rsid w:val="005A1064"/>
    <w:rsid w:val="005A2E41"/>
    <w:rsid w:val="005A3D9B"/>
    <w:rsid w:val="005A40FE"/>
    <w:rsid w:val="005A4F4D"/>
    <w:rsid w:val="005A548E"/>
    <w:rsid w:val="005A5F64"/>
    <w:rsid w:val="005A7063"/>
    <w:rsid w:val="005B04BC"/>
    <w:rsid w:val="005B05F8"/>
    <w:rsid w:val="005B1460"/>
    <w:rsid w:val="005B1D5F"/>
    <w:rsid w:val="005B2CEA"/>
    <w:rsid w:val="005B2F7B"/>
    <w:rsid w:val="005B323A"/>
    <w:rsid w:val="005B4801"/>
    <w:rsid w:val="005B4D12"/>
    <w:rsid w:val="005B4E4D"/>
    <w:rsid w:val="005B5848"/>
    <w:rsid w:val="005B5A47"/>
    <w:rsid w:val="005B6065"/>
    <w:rsid w:val="005C01CF"/>
    <w:rsid w:val="005C0B72"/>
    <w:rsid w:val="005C128B"/>
    <w:rsid w:val="005C1B59"/>
    <w:rsid w:val="005C23A4"/>
    <w:rsid w:val="005C2EF1"/>
    <w:rsid w:val="005C3056"/>
    <w:rsid w:val="005C3466"/>
    <w:rsid w:val="005C4518"/>
    <w:rsid w:val="005C72C2"/>
    <w:rsid w:val="005C79A0"/>
    <w:rsid w:val="005D034F"/>
    <w:rsid w:val="005D0619"/>
    <w:rsid w:val="005D07F8"/>
    <w:rsid w:val="005D0955"/>
    <w:rsid w:val="005D157B"/>
    <w:rsid w:val="005D179C"/>
    <w:rsid w:val="005D1CDF"/>
    <w:rsid w:val="005D1ED3"/>
    <w:rsid w:val="005D2447"/>
    <w:rsid w:val="005D25F4"/>
    <w:rsid w:val="005D2BB7"/>
    <w:rsid w:val="005D3B62"/>
    <w:rsid w:val="005D44C3"/>
    <w:rsid w:val="005D4A29"/>
    <w:rsid w:val="005D605C"/>
    <w:rsid w:val="005D6923"/>
    <w:rsid w:val="005D76FA"/>
    <w:rsid w:val="005E09CD"/>
    <w:rsid w:val="005E16FD"/>
    <w:rsid w:val="005E1BC5"/>
    <w:rsid w:val="005E2095"/>
    <w:rsid w:val="005E212C"/>
    <w:rsid w:val="005E3D8D"/>
    <w:rsid w:val="005E5634"/>
    <w:rsid w:val="005E61A8"/>
    <w:rsid w:val="005E6454"/>
    <w:rsid w:val="005E71F9"/>
    <w:rsid w:val="005F1723"/>
    <w:rsid w:val="005F1F51"/>
    <w:rsid w:val="005F3DC0"/>
    <w:rsid w:val="005F411D"/>
    <w:rsid w:val="005F51A6"/>
    <w:rsid w:val="005F5513"/>
    <w:rsid w:val="005F5568"/>
    <w:rsid w:val="005F61B1"/>
    <w:rsid w:val="005F6419"/>
    <w:rsid w:val="005F7B93"/>
    <w:rsid w:val="005F7D54"/>
    <w:rsid w:val="00600BAC"/>
    <w:rsid w:val="006011B7"/>
    <w:rsid w:val="006018FD"/>
    <w:rsid w:val="00602213"/>
    <w:rsid w:val="00602CC1"/>
    <w:rsid w:val="006035F7"/>
    <w:rsid w:val="0060543D"/>
    <w:rsid w:val="00606411"/>
    <w:rsid w:val="00607A60"/>
    <w:rsid w:val="0061047E"/>
    <w:rsid w:val="006104DD"/>
    <w:rsid w:val="006116B8"/>
    <w:rsid w:val="0061173A"/>
    <w:rsid w:val="00611924"/>
    <w:rsid w:val="006130B5"/>
    <w:rsid w:val="00614061"/>
    <w:rsid w:val="00616EFF"/>
    <w:rsid w:val="00617326"/>
    <w:rsid w:val="00617400"/>
    <w:rsid w:val="00620245"/>
    <w:rsid w:val="00620273"/>
    <w:rsid w:val="006207BD"/>
    <w:rsid w:val="00620B38"/>
    <w:rsid w:val="00622EB7"/>
    <w:rsid w:val="00623217"/>
    <w:rsid w:val="0062552C"/>
    <w:rsid w:val="00625593"/>
    <w:rsid w:val="00626397"/>
    <w:rsid w:val="00626B48"/>
    <w:rsid w:val="0062788F"/>
    <w:rsid w:val="00627A6D"/>
    <w:rsid w:val="00627BEC"/>
    <w:rsid w:val="006300A5"/>
    <w:rsid w:val="00630529"/>
    <w:rsid w:val="0063120A"/>
    <w:rsid w:val="0063273B"/>
    <w:rsid w:val="00632D29"/>
    <w:rsid w:val="00632D5E"/>
    <w:rsid w:val="00634478"/>
    <w:rsid w:val="006347F1"/>
    <w:rsid w:val="00634964"/>
    <w:rsid w:val="006359D1"/>
    <w:rsid w:val="006359D5"/>
    <w:rsid w:val="00635D0C"/>
    <w:rsid w:val="006360B9"/>
    <w:rsid w:val="006361EB"/>
    <w:rsid w:val="0063789D"/>
    <w:rsid w:val="00640551"/>
    <w:rsid w:val="00640A86"/>
    <w:rsid w:val="00641C4D"/>
    <w:rsid w:val="00641F61"/>
    <w:rsid w:val="0064215F"/>
    <w:rsid w:val="006424BC"/>
    <w:rsid w:val="00642C36"/>
    <w:rsid w:val="00642D6F"/>
    <w:rsid w:val="00643527"/>
    <w:rsid w:val="00643AB1"/>
    <w:rsid w:val="0064443D"/>
    <w:rsid w:val="00644B7D"/>
    <w:rsid w:val="006457D5"/>
    <w:rsid w:val="00650E58"/>
    <w:rsid w:val="00650F32"/>
    <w:rsid w:val="006512E1"/>
    <w:rsid w:val="00651658"/>
    <w:rsid w:val="00652785"/>
    <w:rsid w:val="00654A4D"/>
    <w:rsid w:val="00654A5A"/>
    <w:rsid w:val="0065531A"/>
    <w:rsid w:val="00655C39"/>
    <w:rsid w:val="006573E5"/>
    <w:rsid w:val="0065790B"/>
    <w:rsid w:val="00657C7D"/>
    <w:rsid w:val="006600EA"/>
    <w:rsid w:val="006615F6"/>
    <w:rsid w:val="00661E3F"/>
    <w:rsid w:val="00662489"/>
    <w:rsid w:val="0066265F"/>
    <w:rsid w:val="0066379D"/>
    <w:rsid w:val="00664950"/>
    <w:rsid w:val="00665FC5"/>
    <w:rsid w:val="00666A0A"/>
    <w:rsid w:val="00666BD3"/>
    <w:rsid w:val="00667C4E"/>
    <w:rsid w:val="00670A0F"/>
    <w:rsid w:val="00670EA1"/>
    <w:rsid w:val="00672B4F"/>
    <w:rsid w:val="00673C72"/>
    <w:rsid w:val="006742F6"/>
    <w:rsid w:val="00676DD2"/>
    <w:rsid w:val="00677574"/>
    <w:rsid w:val="00680149"/>
    <w:rsid w:val="006809AC"/>
    <w:rsid w:val="00681592"/>
    <w:rsid w:val="00683220"/>
    <w:rsid w:val="00683452"/>
    <w:rsid w:val="00684380"/>
    <w:rsid w:val="0068458D"/>
    <w:rsid w:val="006845C4"/>
    <w:rsid w:val="00684B99"/>
    <w:rsid w:val="00686226"/>
    <w:rsid w:val="0068664E"/>
    <w:rsid w:val="00686FD9"/>
    <w:rsid w:val="006872C5"/>
    <w:rsid w:val="006872DA"/>
    <w:rsid w:val="0068787E"/>
    <w:rsid w:val="00687FA0"/>
    <w:rsid w:val="0069059B"/>
    <w:rsid w:val="006907BC"/>
    <w:rsid w:val="00690812"/>
    <w:rsid w:val="00690A5B"/>
    <w:rsid w:val="0069142D"/>
    <w:rsid w:val="006916DA"/>
    <w:rsid w:val="00692D09"/>
    <w:rsid w:val="00692E62"/>
    <w:rsid w:val="00693315"/>
    <w:rsid w:val="00693F35"/>
    <w:rsid w:val="00694988"/>
    <w:rsid w:val="00695DE2"/>
    <w:rsid w:val="00696459"/>
    <w:rsid w:val="006A097E"/>
    <w:rsid w:val="006A0BB0"/>
    <w:rsid w:val="006A11C3"/>
    <w:rsid w:val="006A126E"/>
    <w:rsid w:val="006A2B90"/>
    <w:rsid w:val="006A3C11"/>
    <w:rsid w:val="006A4FE4"/>
    <w:rsid w:val="006A644C"/>
    <w:rsid w:val="006A7A38"/>
    <w:rsid w:val="006A7C83"/>
    <w:rsid w:val="006B45ED"/>
    <w:rsid w:val="006B4FAF"/>
    <w:rsid w:val="006B6F98"/>
    <w:rsid w:val="006B7010"/>
    <w:rsid w:val="006B72F8"/>
    <w:rsid w:val="006B7529"/>
    <w:rsid w:val="006B7624"/>
    <w:rsid w:val="006B7A01"/>
    <w:rsid w:val="006C01F9"/>
    <w:rsid w:val="006C0C4C"/>
    <w:rsid w:val="006C1348"/>
    <w:rsid w:val="006C14A0"/>
    <w:rsid w:val="006C27A7"/>
    <w:rsid w:val="006C3095"/>
    <w:rsid w:val="006C319D"/>
    <w:rsid w:val="006C36A6"/>
    <w:rsid w:val="006C3947"/>
    <w:rsid w:val="006C458B"/>
    <w:rsid w:val="006C4FDB"/>
    <w:rsid w:val="006C6E30"/>
    <w:rsid w:val="006D054C"/>
    <w:rsid w:val="006D07D2"/>
    <w:rsid w:val="006D3814"/>
    <w:rsid w:val="006D49F5"/>
    <w:rsid w:val="006D5353"/>
    <w:rsid w:val="006D5646"/>
    <w:rsid w:val="006D56BB"/>
    <w:rsid w:val="006D57E6"/>
    <w:rsid w:val="006D59A5"/>
    <w:rsid w:val="006D5C18"/>
    <w:rsid w:val="006D6136"/>
    <w:rsid w:val="006D6E1B"/>
    <w:rsid w:val="006D7721"/>
    <w:rsid w:val="006E04D9"/>
    <w:rsid w:val="006E1151"/>
    <w:rsid w:val="006E282E"/>
    <w:rsid w:val="006E2E64"/>
    <w:rsid w:val="006E32B8"/>
    <w:rsid w:val="006E35B6"/>
    <w:rsid w:val="006E3645"/>
    <w:rsid w:val="006E473F"/>
    <w:rsid w:val="006E4DFD"/>
    <w:rsid w:val="006E4F0D"/>
    <w:rsid w:val="006E5160"/>
    <w:rsid w:val="006E541B"/>
    <w:rsid w:val="006E54F6"/>
    <w:rsid w:val="006E58E3"/>
    <w:rsid w:val="006E6311"/>
    <w:rsid w:val="006F01ED"/>
    <w:rsid w:val="006F0E01"/>
    <w:rsid w:val="006F202D"/>
    <w:rsid w:val="006F256D"/>
    <w:rsid w:val="006F2EDB"/>
    <w:rsid w:val="006F4639"/>
    <w:rsid w:val="006F4C7F"/>
    <w:rsid w:val="006F58C2"/>
    <w:rsid w:val="006F5EBC"/>
    <w:rsid w:val="006F6C4B"/>
    <w:rsid w:val="006F7B70"/>
    <w:rsid w:val="00700ACC"/>
    <w:rsid w:val="00703786"/>
    <w:rsid w:val="00704132"/>
    <w:rsid w:val="007050AF"/>
    <w:rsid w:val="00705A7D"/>
    <w:rsid w:val="00705D9E"/>
    <w:rsid w:val="00705E11"/>
    <w:rsid w:val="00705FE3"/>
    <w:rsid w:val="00706500"/>
    <w:rsid w:val="007066A1"/>
    <w:rsid w:val="0070753E"/>
    <w:rsid w:val="007101C3"/>
    <w:rsid w:val="007102D5"/>
    <w:rsid w:val="0071076F"/>
    <w:rsid w:val="007112F7"/>
    <w:rsid w:val="007114CA"/>
    <w:rsid w:val="00713120"/>
    <w:rsid w:val="00713D59"/>
    <w:rsid w:val="007145FF"/>
    <w:rsid w:val="007146F9"/>
    <w:rsid w:val="00714813"/>
    <w:rsid w:val="0071489E"/>
    <w:rsid w:val="00714E03"/>
    <w:rsid w:val="00715B2A"/>
    <w:rsid w:val="00720C48"/>
    <w:rsid w:val="0072122B"/>
    <w:rsid w:val="0072143B"/>
    <w:rsid w:val="00721B00"/>
    <w:rsid w:val="00721F3D"/>
    <w:rsid w:val="007223E4"/>
    <w:rsid w:val="00722ED1"/>
    <w:rsid w:val="0072427E"/>
    <w:rsid w:val="007255D7"/>
    <w:rsid w:val="00725849"/>
    <w:rsid w:val="00726ACD"/>
    <w:rsid w:val="00726B26"/>
    <w:rsid w:val="00727153"/>
    <w:rsid w:val="00727D3A"/>
    <w:rsid w:val="00730005"/>
    <w:rsid w:val="00730623"/>
    <w:rsid w:val="007306B3"/>
    <w:rsid w:val="007307B4"/>
    <w:rsid w:val="00730C08"/>
    <w:rsid w:val="00730E23"/>
    <w:rsid w:val="007316CC"/>
    <w:rsid w:val="007318BE"/>
    <w:rsid w:val="007322CB"/>
    <w:rsid w:val="0073361B"/>
    <w:rsid w:val="00733D4D"/>
    <w:rsid w:val="00734551"/>
    <w:rsid w:val="00735651"/>
    <w:rsid w:val="00735A8D"/>
    <w:rsid w:val="00735EE4"/>
    <w:rsid w:val="00735F16"/>
    <w:rsid w:val="00737F5F"/>
    <w:rsid w:val="007411A4"/>
    <w:rsid w:val="00742D86"/>
    <w:rsid w:val="00742DEE"/>
    <w:rsid w:val="007439B3"/>
    <w:rsid w:val="007445A9"/>
    <w:rsid w:val="00744D8B"/>
    <w:rsid w:val="00744D91"/>
    <w:rsid w:val="007450F1"/>
    <w:rsid w:val="007477D1"/>
    <w:rsid w:val="00750D17"/>
    <w:rsid w:val="00750DF0"/>
    <w:rsid w:val="00751515"/>
    <w:rsid w:val="00752759"/>
    <w:rsid w:val="00755631"/>
    <w:rsid w:val="0075573C"/>
    <w:rsid w:val="00756E09"/>
    <w:rsid w:val="00761C56"/>
    <w:rsid w:val="007626B7"/>
    <w:rsid w:val="00762737"/>
    <w:rsid w:val="007632AB"/>
    <w:rsid w:val="00763AB3"/>
    <w:rsid w:val="00763BA6"/>
    <w:rsid w:val="0076404F"/>
    <w:rsid w:val="0076424C"/>
    <w:rsid w:val="0076656E"/>
    <w:rsid w:val="00766A80"/>
    <w:rsid w:val="0077162B"/>
    <w:rsid w:val="0077171D"/>
    <w:rsid w:val="00771C34"/>
    <w:rsid w:val="00771E4B"/>
    <w:rsid w:val="007742DA"/>
    <w:rsid w:val="00774841"/>
    <w:rsid w:val="00774886"/>
    <w:rsid w:val="00775EA4"/>
    <w:rsid w:val="00775EAC"/>
    <w:rsid w:val="007765E6"/>
    <w:rsid w:val="007767AD"/>
    <w:rsid w:val="00776887"/>
    <w:rsid w:val="00776F3D"/>
    <w:rsid w:val="007778AF"/>
    <w:rsid w:val="00777FA2"/>
    <w:rsid w:val="00781DCD"/>
    <w:rsid w:val="0078212B"/>
    <w:rsid w:val="00782244"/>
    <w:rsid w:val="00784DF6"/>
    <w:rsid w:val="00785232"/>
    <w:rsid w:val="00785582"/>
    <w:rsid w:val="00787554"/>
    <w:rsid w:val="007875C1"/>
    <w:rsid w:val="00787A6C"/>
    <w:rsid w:val="00787B97"/>
    <w:rsid w:val="00787CBE"/>
    <w:rsid w:val="00792CBC"/>
    <w:rsid w:val="00793466"/>
    <w:rsid w:val="00794894"/>
    <w:rsid w:val="0079550B"/>
    <w:rsid w:val="00795DE3"/>
    <w:rsid w:val="00796322"/>
    <w:rsid w:val="0079730E"/>
    <w:rsid w:val="007A16D2"/>
    <w:rsid w:val="007A17F1"/>
    <w:rsid w:val="007A6F64"/>
    <w:rsid w:val="007A73A6"/>
    <w:rsid w:val="007A762F"/>
    <w:rsid w:val="007B0C0E"/>
    <w:rsid w:val="007B16E5"/>
    <w:rsid w:val="007B186C"/>
    <w:rsid w:val="007B1B43"/>
    <w:rsid w:val="007B276E"/>
    <w:rsid w:val="007B2E91"/>
    <w:rsid w:val="007B3A00"/>
    <w:rsid w:val="007B454B"/>
    <w:rsid w:val="007B4A21"/>
    <w:rsid w:val="007B6315"/>
    <w:rsid w:val="007B746B"/>
    <w:rsid w:val="007B74B1"/>
    <w:rsid w:val="007B7967"/>
    <w:rsid w:val="007B7C0E"/>
    <w:rsid w:val="007C132F"/>
    <w:rsid w:val="007C14D6"/>
    <w:rsid w:val="007C1696"/>
    <w:rsid w:val="007C1D91"/>
    <w:rsid w:val="007C2C6E"/>
    <w:rsid w:val="007C34DA"/>
    <w:rsid w:val="007C36D3"/>
    <w:rsid w:val="007C3D17"/>
    <w:rsid w:val="007C3DAB"/>
    <w:rsid w:val="007C3ED0"/>
    <w:rsid w:val="007C4623"/>
    <w:rsid w:val="007C4E51"/>
    <w:rsid w:val="007C5888"/>
    <w:rsid w:val="007C5971"/>
    <w:rsid w:val="007C5DCC"/>
    <w:rsid w:val="007C6D3B"/>
    <w:rsid w:val="007C7251"/>
    <w:rsid w:val="007C7D9B"/>
    <w:rsid w:val="007C7E29"/>
    <w:rsid w:val="007D18A1"/>
    <w:rsid w:val="007D1BE3"/>
    <w:rsid w:val="007D1E8E"/>
    <w:rsid w:val="007D2AC3"/>
    <w:rsid w:val="007D4A45"/>
    <w:rsid w:val="007D5011"/>
    <w:rsid w:val="007D7290"/>
    <w:rsid w:val="007D785B"/>
    <w:rsid w:val="007E1743"/>
    <w:rsid w:val="007E184B"/>
    <w:rsid w:val="007E1C53"/>
    <w:rsid w:val="007E2B04"/>
    <w:rsid w:val="007E3C3C"/>
    <w:rsid w:val="007E3D13"/>
    <w:rsid w:val="007E584B"/>
    <w:rsid w:val="007E61DB"/>
    <w:rsid w:val="007E6544"/>
    <w:rsid w:val="007F16FD"/>
    <w:rsid w:val="007F3494"/>
    <w:rsid w:val="007F4EAF"/>
    <w:rsid w:val="007F54B9"/>
    <w:rsid w:val="007F5A80"/>
    <w:rsid w:val="007F5F8A"/>
    <w:rsid w:val="007F6D8C"/>
    <w:rsid w:val="007F76D0"/>
    <w:rsid w:val="0080027B"/>
    <w:rsid w:val="00802DEB"/>
    <w:rsid w:val="00802F59"/>
    <w:rsid w:val="00803F47"/>
    <w:rsid w:val="0080433F"/>
    <w:rsid w:val="00805786"/>
    <w:rsid w:val="008067E4"/>
    <w:rsid w:val="00806A76"/>
    <w:rsid w:val="00811016"/>
    <w:rsid w:val="00811C9D"/>
    <w:rsid w:val="00812C00"/>
    <w:rsid w:val="00812E15"/>
    <w:rsid w:val="00813C9B"/>
    <w:rsid w:val="00814110"/>
    <w:rsid w:val="0081424C"/>
    <w:rsid w:val="00814B96"/>
    <w:rsid w:val="00814E5B"/>
    <w:rsid w:val="008154E5"/>
    <w:rsid w:val="008155CC"/>
    <w:rsid w:val="00815C25"/>
    <w:rsid w:val="00816750"/>
    <w:rsid w:val="00816C80"/>
    <w:rsid w:val="008171EF"/>
    <w:rsid w:val="00817B07"/>
    <w:rsid w:val="00820083"/>
    <w:rsid w:val="0082070B"/>
    <w:rsid w:val="00821757"/>
    <w:rsid w:val="00822090"/>
    <w:rsid w:val="00822F75"/>
    <w:rsid w:val="00823BE2"/>
    <w:rsid w:val="008250F3"/>
    <w:rsid w:val="008254BF"/>
    <w:rsid w:val="008261D6"/>
    <w:rsid w:val="0082649B"/>
    <w:rsid w:val="00826B72"/>
    <w:rsid w:val="008305EE"/>
    <w:rsid w:val="00831CE8"/>
    <w:rsid w:val="00832F69"/>
    <w:rsid w:val="008336AA"/>
    <w:rsid w:val="0083574E"/>
    <w:rsid w:val="0083602C"/>
    <w:rsid w:val="0084140A"/>
    <w:rsid w:val="00841BCD"/>
    <w:rsid w:val="00842B8E"/>
    <w:rsid w:val="00842C62"/>
    <w:rsid w:val="00846B72"/>
    <w:rsid w:val="00847B65"/>
    <w:rsid w:val="00851354"/>
    <w:rsid w:val="00851A8E"/>
    <w:rsid w:val="00851F13"/>
    <w:rsid w:val="008522E5"/>
    <w:rsid w:val="008530C6"/>
    <w:rsid w:val="00853296"/>
    <w:rsid w:val="0085365B"/>
    <w:rsid w:val="008544FE"/>
    <w:rsid w:val="008547B6"/>
    <w:rsid w:val="008552CB"/>
    <w:rsid w:val="0085537A"/>
    <w:rsid w:val="00855974"/>
    <w:rsid w:val="008563B8"/>
    <w:rsid w:val="00856A96"/>
    <w:rsid w:val="00856EC9"/>
    <w:rsid w:val="00857A89"/>
    <w:rsid w:val="0086081E"/>
    <w:rsid w:val="00860941"/>
    <w:rsid w:val="00862F84"/>
    <w:rsid w:val="008632AD"/>
    <w:rsid w:val="0086340C"/>
    <w:rsid w:val="00863C7C"/>
    <w:rsid w:val="00865F84"/>
    <w:rsid w:val="00866F4E"/>
    <w:rsid w:val="008673DE"/>
    <w:rsid w:val="00867590"/>
    <w:rsid w:val="00867E9E"/>
    <w:rsid w:val="00872831"/>
    <w:rsid w:val="008729E2"/>
    <w:rsid w:val="0087400C"/>
    <w:rsid w:val="008744BE"/>
    <w:rsid w:val="00874CE4"/>
    <w:rsid w:val="00874E67"/>
    <w:rsid w:val="008752A9"/>
    <w:rsid w:val="00875640"/>
    <w:rsid w:val="0087606C"/>
    <w:rsid w:val="0087629E"/>
    <w:rsid w:val="00877FFC"/>
    <w:rsid w:val="0088000C"/>
    <w:rsid w:val="008826C1"/>
    <w:rsid w:val="008826E7"/>
    <w:rsid w:val="00883DFD"/>
    <w:rsid w:val="0088448A"/>
    <w:rsid w:val="00884C80"/>
    <w:rsid w:val="00885CCA"/>
    <w:rsid w:val="00885E93"/>
    <w:rsid w:val="00887D6B"/>
    <w:rsid w:val="0089043B"/>
    <w:rsid w:val="0089138D"/>
    <w:rsid w:val="00891F4C"/>
    <w:rsid w:val="0089335A"/>
    <w:rsid w:val="00894772"/>
    <w:rsid w:val="00894853"/>
    <w:rsid w:val="008953D1"/>
    <w:rsid w:val="0089777E"/>
    <w:rsid w:val="008A03D6"/>
    <w:rsid w:val="008A1BF7"/>
    <w:rsid w:val="008A36A7"/>
    <w:rsid w:val="008A42B7"/>
    <w:rsid w:val="008A5336"/>
    <w:rsid w:val="008A562D"/>
    <w:rsid w:val="008A5B0E"/>
    <w:rsid w:val="008A6C2C"/>
    <w:rsid w:val="008A71E6"/>
    <w:rsid w:val="008A7F28"/>
    <w:rsid w:val="008B0961"/>
    <w:rsid w:val="008B0CC0"/>
    <w:rsid w:val="008B17EB"/>
    <w:rsid w:val="008B2B4B"/>
    <w:rsid w:val="008B5055"/>
    <w:rsid w:val="008B637B"/>
    <w:rsid w:val="008B6C23"/>
    <w:rsid w:val="008B7B83"/>
    <w:rsid w:val="008C0660"/>
    <w:rsid w:val="008C2DF0"/>
    <w:rsid w:val="008C45A0"/>
    <w:rsid w:val="008C45EC"/>
    <w:rsid w:val="008C51DD"/>
    <w:rsid w:val="008C5FBF"/>
    <w:rsid w:val="008C60F6"/>
    <w:rsid w:val="008C6261"/>
    <w:rsid w:val="008C66C8"/>
    <w:rsid w:val="008D081D"/>
    <w:rsid w:val="008D133A"/>
    <w:rsid w:val="008D1A0D"/>
    <w:rsid w:val="008D20FF"/>
    <w:rsid w:val="008D2CD6"/>
    <w:rsid w:val="008D36FB"/>
    <w:rsid w:val="008D50C8"/>
    <w:rsid w:val="008D58F4"/>
    <w:rsid w:val="008D70D0"/>
    <w:rsid w:val="008E0101"/>
    <w:rsid w:val="008E343D"/>
    <w:rsid w:val="008E3A00"/>
    <w:rsid w:val="008E43BB"/>
    <w:rsid w:val="008E51F8"/>
    <w:rsid w:val="008E5AE4"/>
    <w:rsid w:val="008E77CD"/>
    <w:rsid w:val="008F0089"/>
    <w:rsid w:val="008F1310"/>
    <w:rsid w:val="008F2FC1"/>
    <w:rsid w:val="008F41C5"/>
    <w:rsid w:val="008F4461"/>
    <w:rsid w:val="008F719B"/>
    <w:rsid w:val="008F7327"/>
    <w:rsid w:val="008F7C87"/>
    <w:rsid w:val="009001CC"/>
    <w:rsid w:val="00900895"/>
    <w:rsid w:val="0090091A"/>
    <w:rsid w:val="00902C7B"/>
    <w:rsid w:val="00902DA8"/>
    <w:rsid w:val="00902EFB"/>
    <w:rsid w:val="00903565"/>
    <w:rsid w:val="009042BD"/>
    <w:rsid w:val="00904D08"/>
    <w:rsid w:val="00905E7E"/>
    <w:rsid w:val="00907EAC"/>
    <w:rsid w:val="00910479"/>
    <w:rsid w:val="00911AAC"/>
    <w:rsid w:val="00913870"/>
    <w:rsid w:val="0091469E"/>
    <w:rsid w:val="00914F71"/>
    <w:rsid w:val="00916C3B"/>
    <w:rsid w:val="009179B6"/>
    <w:rsid w:val="0092017A"/>
    <w:rsid w:val="00920827"/>
    <w:rsid w:val="009211EE"/>
    <w:rsid w:val="00921A74"/>
    <w:rsid w:val="00921E6E"/>
    <w:rsid w:val="0092333F"/>
    <w:rsid w:val="00924569"/>
    <w:rsid w:val="00924A30"/>
    <w:rsid w:val="00925610"/>
    <w:rsid w:val="00925656"/>
    <w:rsid w:val="00925F51"/>
    <w:rsid w:val="00926B33"/>
    <w:rsid w:val="00927815"/>
    <w:rsid w:val="00927B42"/>
    <w:rsid w:val="00930416"/>
    <w:rsid w:val="00930D6F"/>
    <w:rsid w:val="00932C80"/>
    <w:rsid w:val="00932FFC"/>
    <w:rsid w:val="009344A4"/>
    <w:rsid w:val="009345AE"/>
    <w:rsid w:val="0093524A"/>
    <w:rsid w:val="0093564D"/>
    <w:rsid w:val="00936051"/>
    <w:rsid w:val="00936159"/>
    <w:rsid w:val="009373CC"/>
    <w:rsid w:val="00937CF8"/>
    <w:rsid w:val="00940B6E"/>
    <w:rsid w:val="009411D6"/>
    <w:rsid w:val="0094194D"/>
    <w:rsid w:val="00941EA8"/>
    <w:rsid w:val="009436D3"/>
    <w:rsid w:val="00943C49"/>
    <w:rsid w:val="00945182"/>
    <w:rsid w:val="00946861"/>
    <w:rsid w:val="00946E68"/>
    <w:rsid w:val="00952407"/>
    <w:rsid w:val="009528C3"/>
    <w:rsid w:val="00952B25"/>
    <w:rsid w:val="00953DE8"/>
    <w:rsid w:val="00956A88"/>
    <w:rsid w:val="009574F0"/>
    <w:rsid w:val="00960996"/>
    <w:rsid w:val="00960C95"/>
    <w:rsid w:val="00961FF3"/>
    <w:rsid w:val="00963591"/>
    <w:rsid w:val="0096643F"/>
    <w:rsid w:val="00966799"/>
    <w:rsid w:val="00966DEA"/>
    <w:rsid w:val="00970324"/>
    <w:rsid w:val="00970B9A"/>
    <w:rsid w:val="00972965"/>
    <w:rsid w:val="00972E7C"/>
    <w:rsid w:val="009732D5"/>
    <w:rsid w:val="00973E8F"/>
    <w:rsid w:val="00974200"/>
    <w:rsid w:val="00976073"/>
    <w:rsid w:val="00976FFE"/>
    <w:rsid w:val="00977E1D"/>
    <w:rsid w:val="00977E69"/>
    <w:rsid w:val="00977FD5"/>
    <w:rsid w:val="009817AD"/>
    <w:rsid w:val="00981ACB"/>
    <w:rsid w:val="0098261F"/>
    <w:rsid w:val="009838D3"/>
    <w:rsid w:val="00983DEB"/>
    <w:rsid w:val="009840AB"/>
    <w:rsid w:val="00985DC2"/>
    <w:rsid w:val="009865C7"/>
    <w:rsid w:val="00987477"/>
    <w:rsid w:val="009874CE"/>
    <w:rsid w:val="00987CC9"/>
    <w:rsid w:val="00987E44"/>
    <w:rsid w:val="00990727"/>
    <w:rsid w:val="00990E80"/>
    <w:rsid w:val="00991A89"/>
    <w:rsid w:val="00991CF6"/>
    <w:rsid w:val="00992311"/>
    <w:rsid w:val="00992F00"/>
    <w:rsid w:val="00993DB1"/>
    <w:rsid w:val="00993F09"/>
    <w:rsid w:val="009943FF"/>
    <w:rsid w:val="0099490E"/>
    <w:rsid w:val="009959DD"/>
    <w:rsid w:val="00996051"/>
    <w:rsid w:val="009962AD"/>
    <w:rsid w:val="009972EF"/>
    <w:rsid w:val="00997337"/>
    <w:rsid w:val="009975FC"/>
    <w:rsid w:val="009A0119"/>
    <w:rsid w:val="009A1AF0"/>
    <w:rsid w:val="009A2155"/>
    <w:rsid w:val="009A2CCF"/>
    <w:rsid w:val="009A5496"/>
    <w:rsid w:val="009A5E58"/>
    <w:rsid w:val="009A681B"/>
    <w:rsid w:val="009A6D70"/>
    <w:rsid w:val="009A794E"/>
    <w:rsid w:val="009B0573"/>
    <w:rsid w:val="009B0BAA"/>
    <w:rsid w:val="009B1B44"/>
    <w:rsid w:val="009B29D7"/>
    <w:rsid w:val="009B4377"/>
    <w:rsid w:val="009B4619"/>
    <w:rsid w:val="009B5811"/>
    <w:rsid w:val="009B61A1"/>
    <w:rsid w:val="009B7B4B"/>
    <w:rsid w:val="009B7C21"/>
    <w:rsid w:val="009C1AE8"/>
    <w:rsid w:val="009C1B80"/>
    <w:rsid w:val="009C226C"/>
    <w:rsid w:val="009C5BC6"/>
    <w:rsid w:val="009C6239"/>
    <w:rsid w:val="009C74FF"/>
    <w:rsid w:val="009C7F2D"/>
    <w:rsid w:val="009D010A"/>
    <w:rsid w:val="009D1E68"/>
    <w:rsid w:val="009D2849"/>
    <w:rsid w:val="009D2FA5"/>
    <w:rsid w:val="009D3D7F"/>
    <w:rsid w:val="009D4AB3"/>
    <w:rsid w:val="009D5C2C"/>
    <w:rsid w:val="009D69ED"/>
    <w:rsid w:val="009D6A01"/>
    <w:rsid w:val="009D6C42"/>
    <w:rsid w:val="009D6FBC"/>
    <w:rsid w:val="009E04C0"/>
    <w:rsid w:val="009E06F6"/>
    <w:rsid w:val="009E16BA"/>
    <w:rsid w:val="009E1CE8"/>
    <w:rsid w:val="009E2481"/>
    <w:rsid w:val="009E2E0C"/>
    <w:rsid w:val="009E3BD7"/>
    <w:rsid w:val="009E3CC3"/>
    <w:rsid w:val="009E42BB"/>
    <w:rsid w:val="009E4488"/>
    <w:rsid w:val="009E48A8"/>
    <w:rsid w:val="009E4996"/>
    <w:rsid w:val="009E5A77"/>
    <w:rsid w:val="009E6DAF"/>
    <w:rsid w:val="009F003C"/>
    <w:rsid w:val="009F1286"/>
    <w:rsid w:val="009F14FF"/>
    <w:rsid w:val="009F1CA1"/>
    <w:rsid w:val="009F20B3"/>
    <w:rsid w:val="009F242F"/>
    <w:rsid w:val="009F4FD0"/>
    <w:rsid w:val="009F53D6"/>
    <w:rsid w:val="009F5E97"/>
    <w:rsid w:val="009F6DA6"/>
    <w:rsid w:val="009F7315"/>
    <w:rsid w:val="009F767A"/>
    <w:rsid w:val="009F7EF8"/>
    <w:rsid w:val="009F7F86"/>
    <w:rsid w:val="00A01D08"/>
    <w:rsid w:val="00A01EE9"/>
    <w:rsid w:val="00A02A95"/>
    <w:rsid w:val="00A04992"/>
    <w:rsid w:val="00A05170"/>
    <w:rsid w:val="00A055F6"/>
    <w:rsid w:val="00A0713E"/>
    <w:rsid w:val="00A10AF7"/>
    <w:rsid w:val="00A10D95"/>
    <w:rsid w:val="00A11778"/>
    <w:rsid w:val="00A11EF2"/>
    <w:rsid w:val="00A11F50"/>
    <w:rsid w:val="00A124B9"/>
    <w:rsid w:val="00A147AA"/>
    <w:rsid w:val="00A15290"/>
    <w:rsid w:val="00A166D7"/>
    <w:rsid w:val="00A16D50"/>
    <w:rsid w:val="00A2040E"/>
    <w:rsid w:val="00A218CF"/>
    <w:rsid w:val="00A21D71"/>
    <w:rsid w:val="00A22001"/>
    <w:rsid w:val="00A220B4"/>
    <w:rsid w:val="00A22B78"/>
    <w:rsid w:val="00A22C41"/>
    <w:rsid w:val="00A22C86"/>
    <w:rsid w:val="00A22E3C"/>
    <w:rsid w:val="00A240D4"/>
    <w:rsid w:val="00A24C1F"/>
    <w:rsid w:val="00A24FA7"/>
    <w:rsid w:val="00A25AE5"/>
    <w:rsid w:val="00A25FAC"/>
    <w:rsid w:val="00A269EE"/>
    <w:rsid w:val="00A26CB1"/>
    <w:rsid w:val="00A272E6"/>
    <w:rsid w:val="00A27CB9"/>
    <w:rsid w:val="00A27E4F"/>
    <w:rsid w:val="00A31FAA"/>
    <w:rsid w:val="00A32D4C"/>
    <w:rsid w:val="00A34037"/>
    <w:rsid w:val="00A35470"/>
    <w:rsid w:val="00A35707"/>
    <w:rsid w:val="00A35943"/>
    <w:rsid w:val="00A35B4C"/>
    <w:rsid w:val="00A37002"/>
    <w:rsid w:val="00A37332"/>
    <w:rsid w:val="00A41131"/>
    <w:rsid w:val="00A41310"/>
    <w:rsid w:val="00A413F2"/>
    <w:rsid w:val="00A423B8"/>
    <w:rsid w:val="00A425EF"/>
    <w:rsid w:val="00A4355E"/>
    <w:rsid w:val="00A439AF"/>
    <w:rsid w:val="00A43F29"/>
    <w:rsid w:val="00A43F85"/>
    <w:rsid w:val="00A43F90"/>
    <w:rsid w:val="00A44E5D"/>
    <w:rsid w:val="00A44FF0"/>
    <w:rsid w:val="00A45029"/>
    <w:rsid w:val="00A4554C"/>
    <w:rsid w:val="00A45608"/>
    <w:rsid w:val="00A45E3C"/>
    <w:rsid w:val="00A476C1"/>
    <w:rsid w:val="00A50790"/>
    <w:rsid w:val="00A50DBE"/>
    <w:rsid w:val="00A52206"/>
    <w:rsid w:val="00A52559"/>
    <w:rsid w:val="00A52ADE"/>
    <w:rsid w:val="00A52E91"/>
    <w:rsid w:val="00A530A4"/>
    <w:rsid w:val="00A531CD"/>
    <w:rsid w:val="00A5456F"/>
    <w:rsid w:val="00A5504B"/>
    <w:rsid w:val="00A55B42"/>
    <w:rsid w:val="00A56826"/>
    <w:rsid w:val="00A56980"/>
    <w:rsid w:val="00A57383"/>
    <w:rsid w:val="00A57D06"/>
    <w:rsid w:val="00A6000C"/>
    <w:rsid w:val="00A608C9"/>
    <w:rsid w:val="00A617DF"/>
    <w:rsid w:val="00A6188F"/>
    <w:rsid w:val="00A61FB2"/>
    <w:rsid w:val="00A62F72"/>
    <w:rsid w:val="00A64DE5"/>
    <w:rsid w:val="00A6516E"/>
    <w:rsid w:val="00A654A4"/>
    <w:rsid w:val="00A67EFA"/>
    <w:rsid w:val="00A708E8"/>
    <w:rsid w:val="00A7097F"/>
    <w:rsid w:val="00A712F0"/>
    <w:rsid w:val="00A71BDA"/>
    <w:rsid w:val="00A722EE"/>
    <w:rsid w:val="00A73FC7"/>
    <w:rsid w:val="00A740B7"/>
    <w:rsid w:val="00A748D5"/>
    <w:rsid w:val="00A74CC2"/>
    <w:rsid w:val="00A808A7"/>
    <w:rsid w:val="00A825AC"/>
    <w:rsid w:val="00A82AFD"/>
    <w:rsid w:val="00A82E4C"/>
    <w:rsid w:val="00A83223"/>
    <w:rsid w:val="00A834A5"/>
    <w:rsid w:val="00A834EC"/>
    <w:rsid w:val="00A836A5"/>
    <w:rsid w:val="00A83F21"/>
    <w:rsid w:val="00A866D9"/>
    <w:rsid w:val="00A86756"/>
    <w:rsid w:val="00A908E0"/>
    <w:rsid w:val="00A90CF6"/>
    <w:rsid w:val="00A92BCD"/>
    <w:rsid w:val="00A9350D"/>
    <w:rsid w:val="00A935D2"/>
    <w:rsid w:val="00A964E4"/>
    <w:rsid w:val="00A96BBA"/>
    <w:rsid w:val="00A96EDC"/>
    <w:rsid w:val="00A97391"/>
    <w:rsid w:val="00AA020A"/>
    <w:rsid w:val="00AA0CA8"/>
    <w:rsid w:val="00AA10F2"/>
    <w:rsid w:val="00AA17DC"/>
    <w:rsid w:val="00AA1B0E"/>
    <w:rsid w:val="00AA1BF5"/>
    <w:rsid w:val="00AA21AF"/>
    <w:rsid w:val="00AA2595"/>
    <w:rsid w:val="00AA31FF"/>
    <w:rsid w:val="00AA361C"/>
    <w:rsid w:val="00AA47B6"/>
    <w:rsid w:val="00AA6498"/>
    <w:rsid w:val="00AA6A59"/>
    <w:rsid w:val="00AA7402"/>
    <w:rsid w:val="00AA76BA"/>
    <w:rsid w:val="00AA7ED4"/>
    <w:rsid w:val="00AB15BD"/>
    <w:rsid w:val="00AB1723"/>
    <w:rsid w:val="00AB3BDB"/>
    <w:rsid w:val="00AB55F9"/>
    <w:rsid w:val="00AB5970"/>
    <w:rsid w:val="00AB5A46"/>
    <w:rsid w:val="00AB5E75"/>
    <w:rsid w:val="00AB73A8"/>
    <w:rsid w:val="00AB75B1"/>
    <w:rsid w:val="00AC030F"/>
    <w:rsid w:val="00AC06C7"/>
    <w:rsid w:val="00AC1018"/>
    <w:rsid w:val="00AC163B"/>
    <w:rsid w:val="00AC18F2"/>
    <w:rsid w:val="00AC293D"/>
    <w:rsid w:val="00AC29DC"/>
    <w:rsid w:val="00AC2E25"/>
    <w:rsid w:val="00AC3E2D"/>
    <w:rsid w:val="00AC4540"/>
    <w:rsid w:val="00AC49F4"/>
    <w:rsid w:val="00AC5CA7"/>
    <w:rsid w:val="00AC5E80"/>
    <w:rsid w:val="00AC6058"/>
    <w:rsid w:val="00AC64F2"/>
    <w:rsid w:val="00AC671E"/>
    <w:rsid w:val="00AC6F8B"/>
    <w:rsid w:val="00AC759A"/>
    <w:rsid w:val="00AC766A"/>
    <w:rsid w:val="00AC76B7"/>
    <w:rsid w:val="00AC7759"/>
    <w:rsid w:val="00AC7FD2"/>
    <w:rsid w:val="00AD218C"/>
    <w:rsid w:val="00AD3D2C"/>
    <w:rsid w:val="00AD4E4A"/>
    <w:rsid w:val="00AD5842"/>
    <w:rsid w:val="00AD69FA"/>
    <w:rsid w:val="00AD78DD"/>
    <w:rsid w:val="00AD7D25"/>
    <w:rsid w:val="00AE0CBE"/>
    <w:rsid w:val="00AE0F7E"/>
    <w:rsid w:val="00AE1CB2"/>
    <w:rsid w:val="00AE2250"/>
    <w:rsid w:val="00AE2BA5"/>
    <w:rsid w:val="00AE380F"/>
    <w:rsid w:val="00AE389D"/>
    <w:rsid w:val="00AE4F0E"/>
    <w:rsid w:val="00AE56B1"/>
    <w:rsid w:val="00AE5C78"/>
    <w:rsid w:val="00AE6144"/>
    <w:rsid w:val="00AE64FD"/>
    <w:rsid w:val="00AE6D09"/>
    <w:rsid w:val="00AF13E5"/>
    <w:rsid w:val="00AF2919"/>
    <w:rsid w:val="00AF2BCA"/>
    <w:rsid w:val="00AF3157"/>
    <w:rsid w:val="00AF4B9D"/>
    <w:rsid w:val="00AF4C2B"/>
    <w:rsid w:val="00AF663F"/>
    <w:rsid w:val="00AF7031"/>
    <w:rsid w:val="00AF748A"/>
    <w:rsid w:val="00AF7559"/>
    <w:rsid w:val="00AF755E"/>
    <w:rsid w:val="00AF7A7C"/>
    <w:rsid w:val="00AF7F22"/>
    <w:rsid w:val="00AF7FAA"/>
    <w:rsid w:val="00B00967"/>
    <w:rsid w:val="00B01AC0"/>
    <w:rsid w:val="00B01C75"/>
    <w:rsid w:val="00B020FC"/>
    <w:rsid w:val="00B02845"/>
    <w:rsid w:val="00B0384D"/>
    <w:rsid w:val="00B03E2C"/>
    <w:rsid w:val="00B04D70"/>
    <w:rsid w:val="00B0549B"/>
    <w:rsid w:val="00B05779"/>
    <w:rsid w:val="00B05811"/>
    <w:rsid w:val="00B058DE"/>
    <w:rsid w:val="00B10C44"/>
    <w:rsid w:val="00B13CD6"/>
    <w:rsid w:val="00B1416B"/>
    <w:rsid w:val="00B158EB"/>
    <w:rsid w:val="00B15D4C"/>
    <w:rsid w:val="00B15E7B"/>
    <w:rsid w:val="00B160E1"/>
    <w:rsid w:val="00B168EF"/>
    <w:rsid w:val="00B17FA3"/>
    <w:rsid w:val="00B20715"/>
    <w:rsid w:val="00B20888"/>
    <w:rsid w:val="00B231FF"/>
    <w:rsid w:val="00B24A96"/>
    <w:rsid w:val="00B24CD6"/>
    <w:rsid w:val="00B24EDB"/>
    <w:rsid w:val="00B27A64"/>
    <w:rsid w:val="00B27AD1"/>
    <w:rsid w:val="00B27C2C"/>
    <w:rsid w:val="00B27CF8"/>
    <w:rsid w:val="00B312FB"/>
    <w:rsid w:val="00B32A2C"/>
    <w:rsid w:val="00B33243"/>
    <w:rsid w:val="00B336A9"/>
    <w:rsid w:val="00B338D7"/>
    <w:rsid w:val="00B33D6D"/>
    <w:rsid w:val="00B35015"/>
    <w:rsid w:val="00B35FED"/>
    <w:rsid w:val="00B3711B"/>
    <w:rsid w:val="00B37ECA"/>
    <w:rsid w:val="00B40281"/>
    <w:rsid w:val="00B40365"/>
    <w:rsid w:val="00B408B6"/>
    <w:rsid w:val="00B42049"/>
    <w:rsid w:val="00B424CA"/>
    <w:rsid w:val="00B429AF"/>
    <w:rsid w:val="00B43063"/>
    <w:rsid w:val="00B43571"/>
    <w:rsid w:val="00B43F43"/>
    <w:rsid w:val="00B44325"/>
    <w:rsid w:val="00B44371"/>
    <w:rsid w:val="00B4473E"/>
    <w:rsid w:val="00B45698"/>
    <w:rsid w:val="00B46206"/>
    <w:rsid w:val="00B47138"/>
    <w:rsid w:val="00B50C51"/>
    <w:rsid w:val="00B51A75"/>
    <w:rsid w:val="00B523F4"/>
    <w:rsid w:val="00B52E8A"/>
    <w:rsid w:val="00B5308D"/>
    <w:rsid w:val="00B5318E"/>
    <w:rsid w:val="00B531AF"/>
    <w:rsid w:val="00B5321D"/>
    <w:rsid w:val="00B53DB6"/>
    <w:rsid w:val="00B542DA"/>
    <w:rsid w:val="00B5493F"/>
    <w:rsid w:val="00B54B17"/>
    <w:rsid w:val="00B54F61"/>
    <w:rsid w:val="00B55126"/>
    <w:rsid w:val="00B5599B"/>
    <w:rsid w:val="00B55D6C"/>
    <w:rsid w:val="00B55DCB"/>
    <w:rsid w:val="00B56AE7"/>
    <w:rsid w:val="00B56C22"/>
    <w:rsid w:val="00B56E3A"/>
    <w:rsid w:val="00B57C5A"/>
    <w:rsid w:val="00B612C5"/>
    <w:rsid w:val="00B62093"/>
    <w:rsid w:val="00B628C6"/>
    <w:rsid w:val="00B63602"/>
    <w:rsid w:val="00B63BA2"/>
    <w:rsid w:val="00B6414E"/>
    <w:rsid w:val="00B6426E"/>
    <w:rsid w:val="00B65B04"/>
    <w:rsid w:val="00B65CAB"/>
    <w:rsid w:val="00B65CC7"/>
    <w:rsid w:val="00B677B2"/>
    <w:rsid w:val="00B67FC1"/>
    <w:rsid w:val="00B7191B"/>
    <w:rsid w:val="00B7363D"/>
    <w:rsid w:val="00B73862"/>
    <w:rsid w:val="00B73F43"/>
    <w:rsid w:val="00B745C7"/>
    <w:rsid w:val="00B7470C"/>
    <w:rsid w:val="00B74C50"/>
    <w:rsid w:val="00B74D38"/>
    <w:rsid w:val="00B74DD1"/>
    <w:rsid w:val="00B75A12"/>
    <w:rsid w:val="00B762BC"/>
    <w:rsid w:val="00B76907"/>
    <w:rsid w:val="00B76B78"/>
    <w:rsid w:val="00B79BA2"/>
    <w:rsid w:val="00B81498"/>
    <w:rsid w:val="00B817A8"/>
    <w:rsid w:val="00B82468"/>
    <w:rsid w:val="00B82AED"/>
    <w:rsid w:val="00B83184"/>
    <w:rsid w:val="00B83841"/>
    <w:rsid w:val="00B84114"/>
    <w:rsid w:val="00B84830"/>
    <w:rsid w:val="00B85350"/>
    <w:rsid w:val="00B854E8"/>
    <w:rsid w:val="00B863B6"/>
    <w:rsid w:val="00B90549"/>
    <w:rsid w:val="00B91B05"/>
    <w:rsid w:val="00B921B6"/>
    <w:rsid w:val="00B927FF"/>
    <w:rsid w:val="00B92805"/>
    <w:rsid w:val="00B92F72"/>
    <w:rsid w:val="00B93096"/>
    <w:rsid w:val="00B943B2"/>
    <w:rsid w:val="00B94857"/>
    <w:rsid w:val="00B955BA"/>
    <w:rsid w:val="00B95607"/>
    <w:rsid w:val="00B959C3"/>
    <w:rsid w:val="00B95A0B"/>
    <w:rsid w:val="00B97D39"/>
    <w:rsid w:val="00BA0828"/>
    <w:rsid w:val="00BA0BE2"/>
    <w:rsid w:val="00BA1497"/>
    <w:rsid w:val="00BA16EC"/>
    <w:rsid w:val="00BA24A0"/>
    <w:rsid w:val="00BA2F68"/>
    <w:rsid w:val="00BA30E8"/>
    <w:rsid w:val="00BA342A"/>
    <w:rsid w:val="00BA485C"/>
    <w:rsid w:val="00BA4F59"/>
    <w:rsid w:val="00BA503D"/>
    <w:rsid w:val="00BA61AC"/>
    <w:rsid w:val="00BA63F9"/>
    <w:rsid w:val="00BA6B66"/>
    <w:rsid w:val="00BA6BE1"/>
    <w:rsid w:val="00BA6E48"/>
    <w:rsid w:val="00BA7589"/>
    <w:rsid w:val="00BB44BC"/>
    <w:rsid w:val="00BB4DE8"/>
    <w:rsid w:val="00BB5951"/>
    <w:rsid w:val="00BB5B51"/>
    <w:rsid w:val="00BB6FBE"/>
    <w:rsid w:val="00BB734B"/>
    <w:rsid w:val="00BB7CF0"/>
    <w:rsid w:val="00BC0089"/>
    <w:rsid w:val="00BC0AA9"/>
    <w:rsid w:val="00BC264F"/>
    <w:rsid w:val="00BC3CAB"/>
    <w:rsid w:val="00BC44C8"/>
    <w:rsid w:val="00BC4638"/>
    <w:rsid w:val="00BC484A"/>
    <w:rsid w:val="00BC4C24"/>
    <w:rsid w:val="00BC5EDD"/>
    <w:rsid w:val="00BC6512"/>
    <w:rsid w:val="00BC6676"/>
    <w:rsid w:val="00BC7EC4"/>
    <w:rsid w:val="00BC7FEE"/>
    <w:rsid w:val="00BD2548"/>
    <w:rsid w:val="00BD41F7"/>
    <w:rsid w:val="00BD5097"/>
    <w:rsid w:val="00BD5F39"/>
    <w:rsid w:val="00BD61CF"/>
    <w:rsid w:val="00BD656C"/>
    <w:rsid w:val="00BD6D06"/>
    <w:rsid w:val="00BD7166"/>
    <w:rsid w:val="00BD7490"/>
    <w:rsid w:val="00BD7526"/>
    <w:rsid w:val="00BE0972"/>
    <w:rsid w:val="00BE09CE"/>
    <w:rsid w:val="00BE0A0D"/>
    <w:rsid w:val="00BE0AC5"/>
    <w:rsid w:val="00BE0AF6"/>
    <w:rsid w:val="00BE1F03"/>
    <w:rsid w:val="00BE2316"/>
    <w:rsid w:val="00BE2705"/>
    <w:rsid w:val="00BE27D9"/>
    <w:rsid w:val="00BE353E"/>
    <w:rsid w:val="00BE35EB"/>
    <w:rsid w:val="00BE3A21"/>
    <w:rsid w:val="00BE3BF4"/>
    <w:rsid w:val="00BE4CD0"/>
    <w:rsid w:val="00BE5836"/>
    <w:rsid w:val="00BE58A7"/>
    <w:rsid w:val="00BE5918"/>
    <w:rsid w:val="00BE684F"/>
    <w:rsid w:val="00BE7300"/>
    <w:rsid w:val="00BF00E3"/>
    <w:rsid w:val="00BF0B79"/>
    <w:rsid w:val="00BF0D8B"/>
    <w:rsid w:val="00BF1B1E"/>
    <w:rsid w:val="00BF2218"/>
    <w:rsid w:val="00BF2ABE"/>
    <w:rsid w:val="00BF328D"/>
    <w:rsid w:val="00BF36E6"/>
    <w:rsid w:val="00BF373A"/>
    <w:rsid w:val="00BF40E5"/>
    <w:rsid w:val="00BF431A"/>
    <w:rsid w:val="00BF4993"/>
    <w:rsid w:val="00BF6470"/>
    <w:rsid w:val="00C00302"/>
    <w:rsid w:val="00C01264"/>
    <w:rsid w:val="00C018C3"/>
    <w:rsid w:val="00C02F87"/>
    <w:rsid w:val="00C035D0"/>
    <w:rsid w:val="00C03AEB"/>
    <w:rsid w:val="00C03FFC"/>
    <w:rsid w:val="00C041BC"/>
    <w:rsid w:val="00C0426B"/>
    <w:rsid w:val="00C045DF"/>
    <w:rsid w:val="00C04FC6"/>
    <w:rsid w:val="00C05BB6"/>
    <w:rsid w:val="00C06E48"/>
    <w:rsid w:val="00C1137E"/>
    <w:rsid w:val="00C11499"/>
    <w:rsid w:val="00C11994"/>
    <w:rsid w:val="00C11AFA"/>
    <w:rsid w:val="00C120CF"/>
    <w:rsid w:val="00C12123"/>
    <w:rsid w:val="00C122EF"/>
    <w:rsid w:val="00C13CF3"/>
    <w:rsid w:val="00C14265"/>
    <w:rsid w:val="00C146A4"/>
    <w:rsid w:val="00C1480C"/>
    <w:rsid w:val="00C14910"/>
    <w:rsid w:val="00C1607A"/>
    <w:rsid w:val="00C20429"/>
    <w:rsid w:val="00C20810"/>
    <w:rsid w:val="00C208B6"/>
    <w:rsid w:val="00C20BD8"/>
    <w:rsid w:val="00C20D3C"/>
    <w:rsid w:val="00C20EE7"/>
    <w:rsid w:val="00C21B88"/>
    <w:rsid w:val="00C21F87"/>
    <w:rsid w:val="00C24C44"/>
    <w:rsid w:val="00C26177"/>
    <w:rsid w:val="00C26D43"/>
    <w:rsid w:val="00C3011C"/>
    <w:rsid w:val="00C32F03"/>
    <w:rsid w:val="00C334FC"/>
    <w:rsid w:val="00C34085"/>
    <w:rsid w:val="00C37C57"/>
    <w:rsid w:val="00C40140"/>
    <w:rsid w:val="00C40748"/>
    <w:rsid w:val="00C40DFA"/>
    <w:rsid w:val="00C43319"/>
    <w:rsid w:val="00C435C7"/>
    <w:rsid w:val="00C43800"/>
    <w:rsid w:val="00C43E4A"/>
    <w:rsid w:val="00C447D0"/>
    <w:rsid w:val="00C45DB1"/>
    <w:rsid w:val="00C462D7"/>
    <w:rsid w:val="00C46548"/>
    <w:rsid w:val="00C472F4"/>
    <w:rsid w:val="00C50091"/>
    <w:rsid w:val="00C50FB0"/>
    <w:rsid w:val="00C51BE5"/>
    <w:rsid w:val="00C51C73"/>
    <w:rsid w:val="00C52CDD"/>
    <w:rsid w:val="00C52EFB"/>
    <w:rsid w:val="00C55AAD"/>
    <w:rsid w:val="00C55B44"/>
    <w:rsid w:val="00C56E68"/>
    <w:rsid w:val="00C574D5"/>
    <w:rsid w:val="00C60A17"/>
    <w:rsid w:val="00C611B9"/>
    <w:rsid w:val="00C614CB"/>
    <w:rsid w:val="00C61A9E"/>
    <w:rsid w:val="00C63981"/>
    <w:rsid w:val="00C64002"/>
    <w:rsid w:val="00C65BEE"/>
    <w:rsid w:val="00C65E58"/>
    <w:rsid w:val="00C662BE"/>
    <w:rsid w:val="00C6666E"/>
    <w:rsid w:val="00C6678C"/>
    <w:rsid w:val="00C66F01"/>
    <w:rsid w:val="00C673AE"/>
    <w:rsid w:val="00C67BC3"/>
    <w:rsid w:val="00C70191"/>
    <w:rsid w:val="00C7050C"/>
    <w:rsid w:val="00C70542"/>
    <w:rsid w:val="00C709CE"/>
    <w:rsid w:val="00C71378"/>
    <w:rsid w:val="00C71385"/>
    <w:rsid w:val="00C71506"/>
    <w:rsid w:val="00C71F35"/>
    <w:rsid w:val="00C729D1"/>
    <w:rsid w:val="00C739F1"/>
    <w:rsid w:val="00C73BAD"/>
    <w:rsid w:val="00C73C74"/>
    <w:rsid w:val="00C73F32"/>
    <w:rsid w:val="00C74207"/>
    <w:rsid w:val="00C74B68"/>
    <w:rsid w:val="00C7782E"/>
    <w:rsid w:val="00C80968"/>
    <w:rsid w:val="00C80D7E"/>
    <w:rsid w:val="00C811D5"/>
    <w:rsid w:val="00C8159F"/>
    <w:rsid w:val="00C82B44"/>
    <w:rsid w:val="00C835A8"/>
    <w:rsid w:val="00C83A62"/>
    <w:rsid w:val="00C83B8E"/>
    <w:rsid w:val="00C84ABD"/>
    <w:rsid w:val="00C8578B"/>
    <w:rsid w:val="00C86580"/>
    <w:rsid w:val="00C86C8A"/>
    <w:rsid w:val="00C87462"/>
    <w:rsid w:val="00C874DF"/>
    <w:rsid w:val="00C9026D"/>
    <w:rsid w:val="00C918E6"/>
    <w:rsid w:val="00C92A9B"/>
    <w:rsid w:val="00C933E6"/>
    <w:rsid w:val="00C93AC8"/>
    <w:rsid w:val="00C97A4C"/>
    <w:rsid w:val="00C97C67"/>
    <w:rsid w:val="00CA062A"/>
    <w:rsid w:val="00CA110C"/>
    <w:rsid w:val="00CA1585"/>
    <w:rsid w:val="00CA180C"/>
    <w:rsid w:val="00CA1CC2"/>
    <w:rsid w:val="00CA2477"/>
    <w:rsid w:val="00CA3932"/>
    <w:rsid w:val="00CA3F25"/>
    <w:rsid w:val="00CA5340"/>
    <w:rsid w:val="00CA7F87"/>
    <w:rsid w:val="00CB0B3B"/>
    <w:rsid w:val="00CB22B2"/>
    <w:rsid w:val="00CB2970"/>
    <w:rsid w:val="00CB3728"/>
    <w:rsid w:val="00CB3DBD"/>
    <w:rsid w:val="00CB51EE"/>
    <w:rsid w:val="00CB57A3"/>
    <w:rsid w:val="00CC12EA"/>
    <w:rsid w:val="00CC13C4"/>
    <w:rsid w:val="00CC1A0B"/>
    <w:rsid w:val="00CC3879"/>
    <w:rsid w:val="00CC3EE2"/>
    <w:rsid w:val="00CC41F9"/>
    <w:rsid w:val="00CC6069"/>
    <w:rsid w:val="00CC6C72"/>
    <w:rsid w:val="00CC70E0"/>
    <w:rsid w:val="00CD0079"/>
    <w:rsid w:val="00CD01C0"/>
    <w:rsid w:val="00CD06E9"/>
    <w:rsid w:val="00CD22A9"/>
    <w:rsid w:val="00CD23EE"/>
    <w:rsid w:val="00CD33A0"/>
    <w:rsid w:val="00CD682F"/>
    <w:rsid w:val="00CD7385"/>
    <w:rsid w:val="00CD7492"/>
    <w:rsid w:val="00CD7542"/>
    <w:rsid w:val="00CD7860"/>
    <w:rsid w:val="00CE0A54"/>
    <w:rsid w:val="00CE1BEB"/>
    <w:rsid w:val="00CE1FED"/>
    <w:rsid w:val="00CE29D3"/>
    <w:rsid w:val="00CE2D04"/>
    <w:rsid w:val="00CE3A6B"/>
    <w:rsid w:val="00CE3BCC"/>
    <w:rsid w:val="00CE4E6E"/>
    <w:rsid w:val="00CE50EE"/>
    <w:rsid w:val="00CE58AE"/>
    <w:rsid w:val="00CE5ABE"/>
    <w:rsid w:val="00CE6F3E"/>
    <w:rsid w:val="00CE746D"/>
    <w:rsid w:val="00CE7C26"/>
    <w:rsid w:val="00CF092C"/>
    <w:rsid w:val="00CF1009"/>
    <w:rsid w:val="00CF1165"/>
    <w:rsid w:val="00CF1BD4"/>
    <w:rsid w:val="00CF3E20"/>
    <w:rsid w:val="00CF4657"/>
    <w:rsid w:val="00CF4798"/>
    <w:rsid w:val="00CF4856"/>
    <w:rsid w:val="00CF4F25"/>
    <w:rsid w:val="00CF5C3D"/>
    <w:rsid w:val="00CF5C60"/>
    <w:rsid w:val="00CF6329"/>
    <w:rsid w:val="00CF6DB6"/>
    <w:rsid w:val="00D00211"/>
    <w:rsid w:val="00D0085A"/>
    <w:rsid w:val="00D00DDF"/>
    <w:rsid w:val="00D013AA"/>
    <w:rsid w:val="00D0269E"/>
    <w:rsid w:val="00D034BD"/>
    <w:rsid w:val="00D03CA7"/>
    <w:rsid w:val="00D03D06"/>
    <w:rsid w:val="00D03F20"/>
    <w:rsid w:val="00D0461B"/>
    <w:rsid w:val="00D047D6"/>
    <w:rsid w:val="00D06309"/>
    <w:rsid w:val="00D06361"/>
    <w:rsid w:val="00D06542"/>
    <w:rsid w:val="00D0682D"/>
    <w:rsid w:val="00D07FBA"/>
    <w:rsid w:val="00D104F1"/>
    <w:rsid w:val="00D1232E"/>
    <w:rsid w:val="00D12C0C"/>
    <w:rsid w:val="00D12C44"/>
    <w:rsid w:val="00D13607"/>
    <w:rsid w:val="00D13A81"/>
    <w:rsid w:val="00D14F3D"/>
    <w:rsid w:val="00D15E4C"/>
    <w:rsid w:val="00D16FD8"/>
    <w:rsid w:val="00D21047"/>
    <w:rsid w:val="00D212E5"/>
    <w:rsid w:val="00D21A1C"/>
    <w:rsid w:val="00D225FD"/>
    <w:rsid w:val="00D25A78"/>
    <w:rsid w:val="00D261B4"/>
    <w:rsid w:val="00D26605"/>
    <w:rsid w:val="00D26773"/>
    <w:rsid w:val="00D27064"/>
    <w:rsid w:val="00D31570"/>
    <w:rsid w:val="00D31783"/>
    <w:rsid w:val="00D32E20"/>
    <w:rsid w:val="00D3351A"/>
    <w:rsid w:val="00D33872"/>
    <w:rsid w:val="00D340DA"/>
    <w:rsid w:val="00D351EA"/>
    <w:rsid w:val="00D356CB"/>
    <w:rsid w:val="00D35F6C"/>
    <w:rsid w:val="00D3649B"/>
    <w:rsid w:val="00D373AA"/>
    <w:rsid w:val="00D37726"/>
    <w:rsid w:val="00D37F5A"/>
    <w:rsid w:val="00D40288"/>
    <w:rsid w:val="00D413D7"/>
    <w:rsid w:val="00D42423"/>
    <w:rsid w:val="00D42A70"/>
    <w:rsid w:val="00D43403"/>
    <w:rsid w:val="00D43AE0"/>
    <w:rsid w:val="00D43CC9"/>
    <w:rsid w:val="00D44669"/>
    <w:rsid w:val="00D469EE"/>
    <w:rsid w:val="00D4757B"/>
    <w:rsid w:val="00D50463"/>
    <w:rsid w:val="00D505DC"/>
    <w:rsid w:val="00D51734"/>
    <w:rsid w:val="00D51AD6"/>
    <w:rsid w:val="00D520D9"/>
    <w:rsid w:val="00D5270B"/>
    <w:rsid w:val="00D52AFD"/>
    <w:rsid w:val="00D5323E"/>
    <w:rsid w:val="00D53E57"/>
    <w:rsid w:val="00D542D6"/>
    <w:rsid w:val="00D5540C"/>
    <w:rsid w:val="00D555AC"/>
    <w:rsid w:val="00D60BAA"/>
    <w:rsid w:val="00D614A6"/>
    <w:rsid w:val="00D61B9A"/>
    <w:rsid w:val="00D62754"/>
    <w:rsid w:val="00D6295D"/>
    <w:rsid w:val="00D62E71"/>
    <w:rsid w:val="00D63A5F"/>
    <w:rsid w:val="00D63DED"/>
    <w:rsid w:val="00D641A2"/>
    <w:rsid w:val="00D6430D"/>
    <w:rsid w:val="00D648BA"/>
    <w:rsid w:val="00D64996"/>
    <w:rsid w:val="00D64F81"/>
    <w:rsid w:val="00D65C31"/>
    <w:rsid w:val="00D66188"/>
    <w:rsid w:val="00D674B3"/>
    <w:rsid w:val="00D731F6"/>
    <w:rsid w:val="00D7339B"/>
    <w:rsid w:val="00D740CA"/>
    <w:rsid w:val="00D74130"/>
    <w:rsid w:val="00D744EB"/>
    <w:rsid w:val="00D74978"/>
    <w:rsid w:val="00D74A5A"/>
    <w:rsid w:val="00D74D23"/>
    <w:rsid w:val="00D7595E"/>
    <w:rsid w:val="00D76F18"/>
    <w:rsid w:val="00D7775E"/>
    <w:rsid w:val="00D77AD9"/>
    <w:rsid w:val="00D801A2"/>
    <w:rsid w:val="00D80400"/>
    <w:rsid w:val="00D83711"/>
    <w:rsid w:val="00D83E13"/>
    <w:rsid w:val="00D83EF0"/>
    <w:rsid w:val="00D83FCA"/>
    <w:rsid w:val="00D845C4"/>
    <w:rsid w:val="00D84607"/>
    <w:rsid w:val="00D84791"/>
    <w:rsid w:val="00D85581"/>
    <w:rsid w:val="00D85728"/>
    <w:rsid w:val="00D86998"/>
    <w:rsid w:val="00D86F46"/>
    <w:rsid w:val="00D90138"/>
    <w:rsid w:val="00D90FCB"/>
    <w:rsid w:val="00D91D04"/>
    <w:rsid w:val="00D92EB4"/>
    <w:rsid w:val="00D93EF5"/>
    <w:rsid w:val="00D943F0"/>
    <w:rsid w:val="00D94667"/>
    <w:rsid w:val="00D94CB8"/>
    <w:rsid w:val="00D95481"/>
    <w:rsid w:val="00D9579A"/>
    <w:rsid w:val="00D96273"/>
    <w:rsid w:val="00D97EBC"/>
    <w:rsid w:val="00DA09A7"/>
    <w:rsid w:val="00DA2E85"/>
    <w:rsid w:val="00DA2FA1"/>
    <w:rsid w:val="00DA350B"/>
    <w:rsid w:val="00DA3571"/>
    <w:rsid w:val="00DA404F"/>
    <w:rsid w:val="00DA4376"/>
    <w:rsid w:val="00DA6C74"/>
    <w:rsid w:val="00DA7271"/>
    <w:rsid w:val="00DA7AF7"/>
    <w:rsid w:val="00DA7DB8"/>
    <w:rsid w:val="00DB01C8"/>
    <w:rsid w:val="00DB0741"/>
    <w:rsid w:val="00DB1BC4"/>
    <w:rsid w:val="00DB2F18"/>
    <w:rsid w:val="00DB53FE"/>
    <w:rsid w:val="00DB61C8"/>
    <w:rsid w:val="00DB662A"/>
    <w:rsid w:val="00DB6A5E"/>
    <w:rsid w:val="00DB77C7"/>
    <w:rsid w:val="00DC03AD"/>
    <w:rsid w:val="00DC1554"/>
    <w:rsid w:val="00DC3C4E"/>
    <w:rsid w:val="00DC45ED"/>
    <w:rsid w:val="00DC678C"/>
    <w:rsid w:val="00DC7A13"/>
    <w:rsid w:val="00DD05C3"/>
    <w:rsid w:val="00DD167D"/>
    <w:rsid w:val="00DD32D6"/>
    <w:rsid w:val="00DD368B"/>
    <w:rsid w:val="00DD378D"/>
    <w:rsid w:val="00DD3D97"/>
    <w:rsid w:val="00DD3E07"/>
    <w:rsid w:val="00DD4455"/>
    <w:rsid w:val="00DD48AF"/>
    <w:rsid w:val="00DD4FAA"/>
    <w:rsid w:val="00DD552C"/>
    <w:rsid w:val="00DD702E"/>
    <w:rsid w:val="00DE24F4"/>
    <w:rsid w:val="00DE394F"/>
    <w:rsid w:val="00DE42E1"/>
    <w:rsid w:val="00DE5CD0"/>
    <w:rsid w:val="00DE601C"/>
    <w:rsid w:val="00DE63F9"/>
    <w:rsid w:val="00DE6C9E"/>
    <w:rsid w:val="00DF082B"/>
    <w:rsid w:val="00DF0AF4"/>
    <w:rsid w:val="00DF172A"/>
    <w:rsid w:val="00DF1B8E"/>
    <w:rsid w:val="00DF21D2"/>
    <w:rsid w:val="00DF2444"/>
    <w:rsid w:val="00DF2997"/>
    <w:rsid w:val="00DF2C5E"/>
    <w:rsid w:val="00DF2DE0"/>
    <w:rsid w:val="00DF2EF3"/>
    <w:rsid w:val="00DF3034"/>
    <w:rsid w:val="00DF3809"/>
    <w:rsid w:val="00DF3EEF"/>
    <w:rsid w:val="00DF4F93"/>
    <w:rsid w:val="00DF5733"/>
    <w:rsid w:val="00DF5863"/>
    <w:rsid w:val="00DF63B5"/>
    <w:rsid w:val="00DF68F9"/>
    <w:rsid w:val="00E019D7"/>
    <w:rsid w:val="00E024EB"/>
    <w:rsid w:val="00E02FEA"/>
    <w:rsid w:val="00E033B6"/>
    <w:rsid w:val="00E03C89"/>
    <w:rsid w:val="00E041BE"/>
    <w:rsid w:val="00E0422B"/>
    <w:rsid w:val="00E05A25"/>
    <w:rsid w:val="00E066A5"/>
    <w:rsid w:val="00E067CE"/>
    <w:rsid w:val="00E069DA"/>
    <w:rsid w:val="00E06B21"/>
    <w:rsid w:val="00E072B5"/>
    <w:rsid w:val="00E07938"/>
    <w:rsid w:val="00E07DD2"/>
    <w:rsid w:val="00E10825"/>
    <w:rsid w:val="00E10BC4"/>
    <w:rsid w:val="00E11CEB"/>
    <w:rsid w:val="00E12BE9"/>
    <w:rsid w:val="00E13D83"/>
    <w:rsid w:val="00E1415D"/>
    <w:rsid w:val="00E14AAF"/>
    <w:rsid w:val="00E1602E"/>
    <w:rsid w:val="00E16D2E"/>
    <w:rsid w:val="00E20484"/>
    <w:rsid w:val="00E2058D"/>
    <w:rsid w:val="00E214CB"/>
    <w:rsid w:val="00E21EB1"/>
    <w:rsid w:val="00E22138"/>
    <w:rsid w:val="00E2332F"/>
    <w:rsid w:val="00E24ACD"/>
    <w:rsid w:val="00E24F42"/>
    <w:rsid w:val="00E25297"/>
    <w:rsid w:val="00E25D46"/>
    <w:rsid w:val="00E31786"/>
    <w:rsid w:val="00E323E9"/>
    <w:rsid w:val="00E32F76"/>
    <w:rsid w:val="00E33A8C"/>
    <w:rsid w:val="00E34018"/>
    <w:rsid w:val="00E35C20"/>
    <w:rsid w:val="00E3683D"/>
    <w:rsid w:val="00E37457"/>
    <w:rsid w:val="00E37896"/>
    <w:rsid w:val="00E4025F"/>
    <w:rsid w:val="00E403C8"/>
    <w:rsid w:val="00E4040C"/>
    <w:rsid w:val="00E4080C"/>
    <w:rsid w:val="00E40E37"/>
    <w:rsid w:val="00E41CEB"/>
    <w:rsid w:val="00E42184"/>
    <w:rsid w:val="00E4318C"/>
    <w:rsid w:val="00E43203"/>
    <w:rsid w:val="00E437D2"/>
    <w:rsid w:val="00E43D3F"/>
    <w:rsid w:val="00E44208"/>
    <w:rsid w:val="00E4429C"/>
    <w:rsid w:val="00E45886"/>
    <w:rsid w:val="00E46527"/>
    <w:rsid w:val="00E468D5"/>
    <w:rsid w:val="00E46BEA"/>
    <w:rsid w:val="00E4756D"/>
    <w:rsid w:val="00E50725"/>
    <w:rsid w:val="00E50B2B"/>
    <w:rsid w:val="00E52A13"/>
    <w:rsid w:val="00E53BC5"/>
    <w:rsid w:val="00E55382"/>
    <w:rsid w:val="00E55383"/>
    <w:rsid w:val="00E55751"/>
    <w:rsid w:val="00E56761"/>
    <w:rsid w:val="00E57BEB"/>
    <w:rsid w:val="00E60193"/>
    <w:rsid w:val="00E636A3"/>
    <w:rsid w:val="00E6472A"/>
    <w:rsid w:val="00E64AF2"/>
    <w:rsid w:val="00E65E40"/>
    <w:rsid w:val="00E6642D"/>
    <w:rsid w:val="00E66C2A"/>
    <w:rsid w:val="00E7019C"/>
    <w:rsid w:val="00E701BC"/>
    <w:rsid w:val="00E725D1"/>
    <w:rsid w:val="00E72D99"/>
    <w:rsid w:val="00E74D0C"/>
    <w:rsid w:val="00E74DB9"/>
    <w:rsid w:val="00E74E31"/>
    <w:rsid w:val="00E75681"/>
    <w:rsid w:val="00E76813"/>
    <w:rsid w:val="00E76D0E"/>
    <w:rsid w:val="00E80A67"/>
    <w:rsid w:val="00E82D04"/>
    <w:rsid w:val="00E84697"/>
    <w:rsid w:val="00E85886"/>
    <w:rsid w:val="00E85E33"/>
    <w:rsid w:val="00E85E4F"/>
    <w:rsid w:val="00E8678D"/>
    <w:rsid w:val="00E87FCE"/>
    <w:rsid w:val="00E92A3B"/>
    <w:rsid w:val="00E92AE2"/>
    <w:rsid w:val="00E93EBB"/>
    <w:rsid w:val="00E95AFE"/>
    <w:rsid w:val="00E96AD6"/>
    <w:rsid w:val="00EA07C0"/>
    <w:rsid w:val="00EA0ADA"/>
    <w:rsid w:val="00EA1C45"/>
    <w:rsid w:val="00EA21F3"/>
    <w:rsid w:val="00EA2201"/>
    <w:rsid w:val="00EA2311"/>
    <w:rsid w:val="00EA3069"/>
    <w:rsid w:val="00EA3AF4"/>
    <w:rsid w:val="00EA58F8"/>
    <w:rsid w:val="00EA5CE0"/>
    <w:rsid w:val="00EA68FF"/>
    <w:rsid w:val="00EA6AFD"/>
    <w:rsid w:val="00EA7DF0"/>
    <w:rsid w:val="00EB07A8"/>
    <w:rsid w:val="00EB1AEC"/>
    <w:rsid w:val="00EB29CB"/>
    <w:rsid w:val="00EB3511"/>
    <w:rsid w:val="00EB4823"/>
    <w:rsid w:val="00EB73F7"/>
    <w:rsid w:val="00EB7640"/>
    <w:rsid w:val="00EC125A"/>
    <w:rsid w:val="00EC2152"/>
    <w:rsid w:val="00EC283F"/>
    <w:rsid w:val="00EC2FD8"/>
    <w:rsid w:val="00EC5482"/>
    <w:rsid w:val="00EC5521"/>
    <w:rsid w:val="00EC5AA6"/>
    <w:rsid w:val="00EC5BEE"/>
    <w:rsid w:val="00EC6352"/>
    <w:rsid w:val="00EC7BC3"/>
    <w:rsid w:val="00EC7E63"/>
    <w:rsid w:val="00ED0340"/>
    <w:rsid w:val="00ED1669"/>
    <w:rsid w:val="00ED324B"/>
    <w:rsid w:val="00ED49EA"/>
    <w:rsid w:val="00ED5737"/>
    <w:rsid w:val="00ED605F"/>
    <w:rsid w:val="00ED70DF"/>
    <w:rsid w:val="00ED7445"/>
    <w:rsid w:val="00ED7600"/>
    <w:rsid w:val="00EE2A96"/>
    <w:rsid w:val="00EE5167"/>
    <w:rsid w:val="00EE51CE"/>
    <w:rsid w:val="00EE5999"/>
    <w:rsid w:val="00EF0D1C"/>
    <w:rsid w:val="00EF11FB"/>
    <w:rsid w:val="00EF1AD5"/>
    <w:rsid w:val="00EF3991"/>
    <w:rsid w:val="00EF484D"/>
    <w:rsid w:val="00EF5C5F"/>
    <w:rsid w:val="00EF5E67"/>
    <w:rsid w:val="00EF6073"/>
    <w:rsid w:val="00EF64B1"/>
    <w:rsid w:val="00EF659A"/>
    <w:rsid w:val="00EF6827"/>
    <w:rsid w:val="00EF698B"/>
    <w:rsid w:val="00F000FF"/>
    <w:rsid w:val="00F008F3"/>
    <w:rsid w:val="00F009EA"/>
    <w:rsid w:val="00F00D6D"/>
    <w:rsid w:val="00F01106"/>
    <w:rsid w:val="00F024FB"/>
    <w:rsid w:val="00F03CE6"/>
    <w:rsid w:val="00F0439F"/>
    <w:rsid w:val="00F06E94"/>
    <w:rsid w:val="00F06EAD"/>
    <w:rsid w:val="00F07264"/>
    <w:rsid w:val="00F10100"/>
    <w:rsid w:val="00F11604"/>
    <w:rsid w:val="00F120C9"/>
    <w:rsid w:val="00F1238A"/>
    <w:rsid w:val="00F12598"/>
    <w:rsid w:val="00F125FC"/>
    <w:rsid w:val="00F1362C"/>
    <w:rsid w:val="00F136C5"/>
    <w:rsid w:val="00F13A04"/>
    <w:rsid w:val="00F13DBC"/>
    <w:rsid w:val="00F140F6"/>
    <w:rsid w:val="00F1472F"/>
    <w:rsid w:val="00F14959"/>
    <w:rsid w:val="00F14C32"/>
    <w:rsid w:val="00F150B7"/>
    <w:rsid w:val="00F16171"/>
    <w:rsid w:val="00F1672D"/>
    <w:rsid w:val="00F17B80"/>
    <w:rsid w:val="00F2022B"/>
    <w:rsid w:val="00F202EF"/>
    <w:rsid w:val="00F20FCB"/>
    <w:rsid w:val="00F21386"/>
    <w:rsid w:val="00F21CCF"/>
    <w:rsid w:val="00F220BF"/>
    <w:rsid w:val="00F2226E"/>
    <w:rsid w:val="00F22F76"/>
    <w:rsid w:val="00F2344E"/>
    <w:rsid w:val="00F23EFB"/>
    <w:rsid w:val="00F24412"/>
    <w:rsid w:val="00F24A2F"/>
    <w:rsid w:val="00F253AC"/>
    <w:rsid w:val="00F264D6"/>
    <w:rsid w:val="00F27992"/>
    <w:rsid w:val="00F305C7"/>
    <w:rsid w:val="00F313C5"/>
    <w:rsid w:val="00F31818"/>
    <w:rsid w:val="00F31B21"/>
    <w:rsid w:val="00F31D9D"/>
    <w:rsid w:val="00F3235C"/>
    <w:rsid w:val="00F34E5D"/>
    <w:rsid w:val="00F34EDF"/>
    <w:rsid w:val="00F35767"/>
    <w:rsid w:val="00F357AB"/>
    <w:rsid w:val="00F35838"/>
    <w:rsid w:val="00F40637"/>
    <w:rsid w:val="00F4098C"/>
    <w:rsid w:val="00F414F1"/>
    <w:rsid w:val="00F41C10"/>
    <w:rsid w:val="00F425B2"/>
    <w:rsid w:val="00F4261F"/>
    <w:rsid w:val="00F429E1"/>
    <w:rsid w:val="00F42F3C"/>
    <w:rsid w:val="00F43F16"/>
    <w:rsid w:val="00F45D42"/>
    <w:rsid w:val="00F46647"/>
    <w:rsid w:val="00F4799E"/>
    <w:rsid w:val="00F508B8"/>
    <w:rsid w:val="00F50E8C"/>
    <w:rsid w:val="00F51132"/>
    <w:rsid w:val="00F53110"/>
    <w:rsid w:val="00F5341C"/>
    <w:rsid w:val="00F53AC7"/>
    <w:rsid w:val="00F53EBB"/>
    <w:rsid w:val="00F5488D"/>
    <w:rsid w:val="00F54C45"/>
    <w:rsid w:val="00F552DF"/>
    <w:rsid w:val="00F55A69"/>
    <w:rsid w:val="00F632D8"/>
    <w:rsid w:val="00F63C77"/>
    <w:rsid w:val="00F656FC"/>
    <w:rsid w:val="00F66044"/>
    <w:rsid w:val="00F66418"/>
    <w:rsid w:val="00F67CE6"/>
    <w:rsid w:val="00F705E9"/>
    <w:rsid w:val="00F70C69"/>
    <w:rsid w:val="00F70D21"/>
    <w:rsid w:val="00F72597"/>
    <w:rsid w:val="00F72BAA"/>
    <w:rsid w:val="00F72CB1"/>
    <w:rsid w:val="00F72E90"/>
    <w:rsid w:val="00F739BA"/>
    <w:rsid w:val="00F73D95"/>
    <w:rsid w:val="00F749E0"/>
    <w:rsid w:val="00F75627"/>
    <w:rsid w:val="00F7584D"/>
    <w:rsid w:val="00F75FE7"/>
    <w:rsid w:val="00F76675"/>
    <w:rsid w:val="00F77038"/>
    <w:rsid w:val="00F77F61"/>
    <w:rsid w:val="00F8106E"/>
    <w:rsid w:val="00F81D87"/>
    <w:rsid w:val="00F8215E"/>
    <w:rsid w:val="00F82247"/>
    <w:rsid w:val="00F824F5"/>
    <w:rsid w:val="00F831F1"/>
    <w:rsid w:val="00F85EE4"/>
    <w:rsid w:val="00F85F25"/>
    <w:rsid w:val="00F86E34"/>
    <w:rsid w:val="00F8783D"/>
    <w:rsid w:val="00F90500"/>
    <w:rsid w:val="00F905D1"/>
    <w:rsid w:val="00F907EC"/>
    <w:rsid w:val="00F90FAB"/>
    <w:rsid w:val="00F910B8"/>
    <w:rsid w:val="00F9112A"/>
    <w:rsid w:val="00F91216"/>
    <w:rsid w:val="00F92045"/>
    <w:rsid w:val="00F92CEA"/>
    <w:rsid w:val="00F9374D"/>
    <w:rsid w:val="00F9499F"/>
    <w:rsid w:val="00F949B8"/>
    <w:rsid w:val="00F94BA0"/>
    <w:rsid w:val="00F95CCD"/>
    <w:rsid w:val="00F95EC7"/>
    <w:rsid w:val="00F962B2"/>
    <w:rsid w:val="00F96430"/>
    <w:rsid w:val="00F965DF"/>
    <w:rsid w:val="00F96C96"/>
    <w:rsid w:val="00F9796B"/>
    <w:rsid w:val="00FA0600"/>
    <w:rsid w:val="00FA0C06"/>
    <w:rsid w:val="00FA0DDA"/>
    <w:rsid w:val="00FA11E8"/>
    <w:rsid w:val="00FA1716"/>
    <w:rsid w:val="00FA31D5"/>
    <w:rsid w:val="00FA422F"/>
    <w:rsid w:val="00FA6509"/>
    <w:rsid w:val="00FA659D"/>
    <w:rsid w:val="00FA68A1"/>
    <w:rsid w:val="00FA6AD6"/>
    <w:rsid w:val="00FA73CE"/>
    <w:rsid w:val="00FA776D"/>
    <w:rsid w:val="00FA7C2A"/>
    <w:rsid w:val="00FB0CD6"/>
    <w:rsid w:val="00FB3110"/>
    <w:rsid w:val="00FB312B"/>
    <w:rsid w:val="00FB39AA"/>
    <w:rsid w:val="00FB3D4E"/>
    <w:rsid w:val="00FB44C3"/>
    <w:rsid w:val="00FB51E0"/>
    <w:rsid w:val="00FB5DA5"/>
    <w:rsid w:val="00FB72D6"/>
    <w:rsid w:val="00FB7808"/>
    <w:rsid w:val="00FC031A"/>
    <w:rsid w:val="00FC0C36"/>
    <w:rsid w:val="00FC29B9"/>
    <w:rsid w:val="00FC39A4"/>
    <w:rsid w:val="00FC4FE2"/>
    <w:rsid w:val="00FC64D7"/>
    <w:rsid w:val="00FC6FD3"/>
    <w:rsid w:val="00FD04DB"/>
    <w:rsid w:val="00FD0D25"/>
    <w:rsid w:val="00FD1804"/>
    <w:rsid w:val="00FD1AF0"/>
    <w:rsid w:val="00FD22EC"/>
    <w:rsid w:val="00FD435B"/>
    <w:rsid w:val="00FD4D26"/>
    <w:rsid w:val="00FD4F91"/>
    <w:rsid w:val="00FD4FD4"/>
    <w:rsid w:val="00FD5A29"/>
    <w:rsid w:val="00FD6506"/>
    <w:rsid w:val="00FD6CB9"/>
    <w:rsid w:val="00FE0160"/>
    <w:rsid w:val="00FE0212"/>
    <w:rsid w:val="00FE1E03"/>
    <w:rsid w:val="00FE2AA5"/>
    <w:rsid w:val="00FE305C"/>
    <w:rsid w:val="00FE36D7"/>
    <w:rsid w:val="00FE3F80"/>
    <w:rsid w:val="00FE4156"/>
    <w:rsid w:val="00FE6375"/>
    <w:rsid w:val="00FE6920"/>
    <w:rsid w:val="00FE7E32"/>
    <w:rsid w:val="00FF0301"/>
    <w:rsid w:val="00FF0357"/>
    <w:rsid w:val="00FF087A"/>
    <w:rsid w:val="00FF18E4"/>
    <w:rsid w:val="00FF220B"/>
    <w:rsid w:val="00FF341A"/>
    <w:rsid w:val="00FF38E5"/>
    <w:rsid w:val="00FF3E18"/>
    <w:rsid w:val="00FF4AEF"/>
    <w:rsid w:val="00FF4EC3"/>
    <w:rsid w:val="00FF5406"/>
    <w:rsid w:val="00FF62BF"/>
    <w:rsid w:val="07CB3E90"/>
    <w:rsid w:val="0B4C8377"/>
    <w:rsid w:val="0C5E0500"/>
    <w:rsid w:val="0C63D59D"/>
    <w:rsid w:val="0E73F02C"/>
    <w:rsid w:val="0F9BCD63"/>
    <w:rsid w:val="10456A38"/>
    <w:rsid w:val="12391D65"/>
    <w:rsid w:val="127E9D25"/>
    <w:rsid w:val="16B37CCC"/>
    <w:rsid w:val="173595AD"/>
    <w:rsid w:val="17551478"/>
    <w:rsid w:val="1771CAD6"/>
    <w:rsid w:val="188C131B"/>
    <w:rsid w:val="1A9305C2"/>
    <w:rsid w:val="1EA5FDCC"/>
    <w:rsid w:val="2027DBF5"/>
    <w:rsid w:val="202A3E92"/>
    <w:rsid w:val="21CC67E7"/>
    <w:rsid w:val="24CE5453"/>
    <w:rsid w:val="24FFFB2B"/>
    <w:rsid w:val="25E88903"/>
    <w:rsid w:val="273909F2"/>
    <w:rsid w:val="27BAD803"/>
    <w:rsid w:val="2831CD08"/>
    <w:rsid w:val="2B568733"/>
    <w:rsid w:val="2D54444E"/>
    <w:rsid w:val="2E53E276"/>
    <w:rsid w:val="2F47FE3C"/>
    <w:rsid w:val="3021AB54"/>
    <w:rsid w:val="3529CF83"/>
    <w:rsid w:val="377F76D7"/>
    <w:rsid w:val="381664CD"/>
    <w:rsid w:val="383A396A"/>
    <w:rsid w:val="3E823EE8"/>
    <w:rsid w:val="3F817D41"/>
    <w:rsid w:val="405458AD"/>
    <w:rsid w:val="41B827E9"/>
    <w:rsid w:val="4266DDFC"/>
    <w:rsid w:val="45C4ACB0"/>
    <w:rsid w:val="47082EE3"/>
    <w:rsid w:val="48C28FAF"/>
    <w:rsid w:val="4B357E35"/>
    <w:rsid w:val="4EE2B676"/>
    <w:rsid w:val="4F43E35E"/>
    <w:rsid w:val="522B6039"/>
    <w:rsid w:val="534A68ED"/>
    <w:rsid w:val="5510C95F"/>
    <w:rsid w:val="5573462E"/>
    <w:rsid w:val="559CB2DA"/>
    <w:rsid w:val="5701F25B"/>
    <w:rsid w:val="575834E8"/>
    <w:rsid w:val="57C8D63F"/>
    <w:rsid w:val="59030F1D"/>
    <w:rsid w:val="5B8C4F71"/>
    <w:rsid w:val="5F242001"/>
    <w:rsid w:val="5FE6443F"/>
    <w:rsid w:val="60F3101C"/>
    <w:rsid w:val="627A1EFE"/>
    <w:rsid w:val="6430CA1E"/>
    <w:rsid w:val="64A77D71"/>
    <w:rsid w:val="67CDBF32"/>
    <w:rsid w:val="69BF5CB2"/>
    <w:rsid w:val="6A5A44EA"/>
    <w:rsid w:val="6FB1C296"/>
    <w:rsid w:val="704BBC67"/>
    <w:rsid w:val="71196829"/>
    <w:rsid w:val="711EF752"/>
    <w:rsid w:val="71AF7BE7"/>
    <w:rsid w:val="71BE607B"/>
    <w:rsid w:val="7234CC7D"/>
    <w:rsid w:val="75036ADF"/>
    <w:rsid w:val="763BE984"/>
    <w:rsid w:val="78901A30"/>
    <w:rsid w:val="7C3ED761"/>
    <w:rsid w:val="7E7A51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B21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F2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清單段落1,列出"/>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列出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B76907"/>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4A1285"/>
    <w:pPr>
      <w:tabs>
        <w:tab w:val="right" w:leader="dot" w:pos="9617"/>
      </w:tabs>
      <w:spacing w:after="100"/>
    </w:pPr>
  </w:style>
  <w:style w:type="paragraph" w:styleId="TOC5">
    <w:name w:val="toc 5"/>
    <w:aliases w:val="Proposal"/>
    <w:basedOn w:val="Normal"/>
    <w:next w:val="Normal"/>
    <w:autoRedefine/>
    <w:uiPriority w:val="39"/>
    <w:unhideWhenUsed/>
    <w:rsid w:val="00BE35EB"/>
    <w:pPr>
      <w:tabs>
        <w:tab w:val="right" w:leader="dot" w:pos="9617"/>
      </w:tabs>
      <w:spacing w:after="100"/>
    </w:pPr>
    <w:rPr>
      <w:b/>
    </w:rPr>
  </w:style>
  <w:style w:type="character" w:customStyle="1" w:styleId="normaltextrun">
    <w:name w:val="normaltextrun"/>
    <w:basedOn w:val="DefaultParagraphFont"/>
    <w:rsid w:val="00885CCA"/>
  </w:style>
  <w:style w:type="character" w:customStyle="1" w:styleId="eop">
    <w:name w:val="eop"/>
    <w:basedOn w:val="DefaultParagraphFont"/>
    <w:rsid w:val="00885CCA"/>
  </w:style>
  <w:style w:type="paragraph" w:customStyle="1" w:styleId="paragraph">
    <w:name w:val="paragraph"/>
    <w:basedOn w:val="Normal"/>
    <w:rsid w:val="00AC3E2D"/>
    <w:pPr>
      <w:spacing w:before="100" w:beforeAutospacing="1" w:after="100" w:afterAutospacing="1" w:line="240" w:lineRule="auto"/>
    </w:pPr>
    <w:rPr>
      <w:rFonts w:eastAsia="Times New Roman" w:cs="Times New Roman"/>
      <w:sz w:val="24"/>
      <w:szCs w:val="24"/>
    </w:rPr>
  </w:style>
  <w:style w:type="character" w:styleId="Mention">
    <w:name w:val="Mention"/>
    <w:basedOn w:val="DefaultParagraphFont"/>
    <w:uiPriority w:val="99"/>
    <w:unhideWhenUsed/>
    <w:rsid w:val="009D3D7F"/>
    <w:rPr>
      <w:color w:val="2B579A"/>
      <w:shd w:val="clear" w:color="auto" w:fill="E1DFDD"/>
    </w:rPr>
  </w:style>
  <w:style w:type="paragraph" w:styleId="Header">
    <w:name w:val="header"/>
    <w:basedOn w:val="Normal"/>
    <w:link w:val="HeaderChar"/>
    <w:uiPriority w:val="99"/>
    <w:unhideWhenUsed/>
    <w:rsid w:val="00EF39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991"/>
    <w:rPr>
      <w:rFonts w:ascii="Times New Roman" w:hAnsi="Times New Roman"/>
      <w:sz w:val="20"/>
    </w:rPr>
  </w:style>
  <w:style w:type="paragraph" w:styleId="Footer">
    <w:name w:val="footer"/>
    <w:basedOn w:val="Normal"/>
    <w:link w:val="FooterChar"/>
    <w:uiPriority w:val="99"/>
    <w:unhideWhenUsed/>
    <w:rsid w:val="00EF39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991"/>
    <w:rPr>
      <w:rFonts w:ascii="Times New Roman" w:hAnsi="Times New Roman"/>
      <w:sz w:val="20"/>
    </w:rPr>
  </w:style>
  <w:style w:type="character" w:customStyle="1" w:styleId="ui-provider">
    <w:name w:val="ui-provider"/>
    <w:basedOn w:val="DefaultParagraphFont"/>
    <w:rsid w:val="00BE2316"/>
  </w:style>
  <w:style w:type="paragraph" w:styleId="Revision">
    <w:name w:val="Revision"/>
    <w:hidden/>
    <w:uiPriority w:val="99"/>
    <w:semiHidden/>
    <w:rsid w:val="0051606C"/>
    <w:pPr>
      <w:spacing w:after="0" w:line="240" w:lineRule="auto"/>
    </w:pPr>
    <w:rPr>
      <w:rFonts w:ascii="Times New Roman" w:hAnsi="Times New Roman"/>
      <w:sz w:val="20"/>
    </w:rPr>
  </w:style>
  <w:style w:type="paragraph" w:styleId="NormalWeb">
    <w:name w:val="Normal (Web)"/>
    <w:basedOn w:val="Normal"/>
    <w:uiPriority w:val="99"/>
    <w:semiHidden/>
    <w:unhideWhenUsed/>
    <w:rsid w:val="00EC5482"/>
    <w:pPr>
      <w:spacing w:before="100" w:beforeAutospacing="1" w:after="100" w:afterAutospacing="1" w:line="240" w:lineRule="auto"/>
    </w:pPr>
    <w:rPr>
      <w:rFonts w:eastAsia="Times New Roman" w:cs="Times New Roman"/>
      <w:sz w:val="24"/>
      <w:szCs w:val="24"/>
    </w:rPr>
  </w:style>
  <w:style w:type="character" w:customStyle="1" w:styleId="tabchar">
    <w:name w:val="tabchar"/>
    <w:basedOn w:val="DefaultParagraphFont"/>
    <w:rsid w:val="002A5891"/>
  </w:style>
  <w:style w:type="paragraph" w:customStyle="1" w:styleId="CRCoverPage">
    <w:name w:val="CR Cover Page"/>
    <w:rsid w:val="0010792E"/>
    <w:pPr>
      <w:spacing w:after="120" w:line="240" w:lineRule="auto"/>
    </w:pPr>
    <w:rPr>
      <w:rFonts w:ascii="Arial" w:eastAsia="Times New Roman" w:hAnsi="Arial" w:cs="Times New Roman"/>
      <w:sz w:val="20"/>
      <w:szCs w:val="20"/>
      <w:lang w:val="en-GB"/>
    </w:rPr>
  </w:style>
  <w:style w:type="paragraph" w:customStyle="1" w:styleId="pf0">
    <w:name w:val="pf0"/>
    <w:basedOn w:val="Normal"/>
    <w:rsid w:val="001260AD"/>
    <w:pPr>
      <w:spacing w:before="100" w:beforeAutospacing="1" w:after="100" w:afterAutospacing="1" w:line="240" w:lineRule="auto"/>
      <w:ind w:left="360"/>
    </w:pPr>
    <w:rPr>
      <w:rFonts w:eastAsia="Times New Roman" w:cs="Times New Roman"/>
      <w:sz w:val="24"/>
      <w:szCs w:val="24"/>
    </w:rPr>
  </w:style>
  <w:style w:type="paragraph" w:customStyle="1" w:styleId="pf1">
    <w:name w:val="pf1"/>
    <w:basedOn w:val="Normal"/>
    <w:rsid w:val="001260AD"/>
    <w:pPr>
      <w:spacing w:before="100" w:beforeAutospacing="1" w:after="100" w:afterAutospacing="1" w:line="240" w:lineRule="auto"/>
      <w:ind w:left="720"/>
    </w:pPr>
    <w:rPr>
      <w:rFonts w:eastAsia="Times New Roman" w:cs="Times New Roman"/>
      <w:sz w:val="24"/>
      <w:szCs w:val="24"/>
    </w:rPr>
  </w:style>
  <w:style w:type="paragraph" w:customStyle="1" w:styleId="pf2">
    <w:name w:val="pf2"/>
    <w:basedOn w:val="Normal"/>
    <w:rsid w:val="001260AD"/>
    <w:pPr>
      <w:spacing w:before="100" w:beforeAutospacing="1" w:after="100" w:afterAutospacing="1" w:line="240" w:lineRule="auto"/>
    </w:pPr>
    <w:rPr>
      <w:rFonts w:eastAsia="Times New Roman" w:cs="Times New Roman"/>
      <w:sz w:val="24"/>
      <w:szCs w:val="24"/>
    </w:rPr>
  </w:style>
  <w:style w:type="character" w:customStyle="1" w:styleId="cf01">
    <w:name w:val="cf01"/>
    <w:basedOn w:val="DefaultParagraphFont"/>
    <w:rsid w:val="001260AD"/>
    <w:rPr>
      <w:rFonts w:ascii="Segoe UI" w:hAnsi="Segoe UI" w:cs="Segoe UI" w:hint="default"/>
      <w:sz w:val="18"/>
      <w:szCs w:val="18"/>
    </w:rPr>
  </w:style>
  <w:style w:type="character" w:customStyle="1" w:styleId="cf11">
    <w:name w:val="cf11"/>
    <w:basedOn w:val="DefaultParagraphFont"/>
    <w:rsid w:val="001260AD"/>
    <w:rPr>
      <w:rFonts w:ascii="Segoe UI" w:hAnsi="Segoe UI" w:cs="Segoe UI" w:hint="default"/>
      <w:b/>
      <w:bCs/>
      <w:sz w:val="18"/>
      <w:szCs w:val="18"/>
    </w:rPr>
  </w:style>
  <w:style w:type="paragraph" w:customStyle="1" w:styleId="B1">
    <w:name w:val="B1"/>
    <w:basedOn w:val="List"/>
    <w:link w:val="B1Char"/>
    <w:qFormat/>
    <w:rsid w:val="005F411D"/>
    <w:pPr>
      <w:spacing w:after="180" w:line="240" w:lineRule="auto"/>
      <w:ind w:left="568" w:hanging="284"/>
      <w:contextualSpacing w:val="0"/>
    </w:pPr>
    <w:rPr>
      <w:rFonts w:eastAsia="Times New Roman" w:cs="Times New Roman"/>
      <w:szCs w:val="20"/>
      <w:lang w:val="en-GB"/>
    </w:rPr>
  </w:style>
  <w:style w:type="paragraph" w:customStyle="1" w:styleId="B2">
    <w:name w:val="B2"/>
    <w:basedOn w:val="List2"/>
    <w:link w:val="B2Char"/>
    <w:qFormat/>
    <w:rsid w:val="005F411D"/>
    <w:pPr>
      <w:spacing w:after="180" w:line="240" w:lineRule="auto"/>
      <w:ind w:left="851" w:hanging="284"/>
      <w:contextualSpacing w:val="0"/>
    </w:pPr>
    <w:rPr>
      <w:rFonts w:eastAsia="Times New Roman" w:cs="Times New Roman"/>
      <w:szCs w:val="20"/>
      <w:lang w:val="en-GB"/>
    </w:rPr>
  </w:style>
  <w:style w:type="paragraph" w:customStyle="1" w:styleId="B3">
    <w:name w:val="B3"/>
    <w:basedOn w:val="List3"/>
    <w:link w:val="B3Char"/>
    <w:qFormat/>
    <w:rsid w:val="005F411D"/>
    <w:pPr>
      <w:spacing w:after="180" w:line="240" w:lineRule="auto"/>
      <w:ind w:left="1135" w:hanging="284"/>
      <w:contextualSpacing w:val="0"/>
    </w:pPr>
    <w:rPr>
      <w:rFonts w:eastAsia="Times New Roman" w:cs="Times New Roman"/>
      <w:szCs w:val="20"/>
      <w:lang w:val="en-GB"/>
    </w:rPr>
  </w:style>
  <w:style w:type="character" w:customStyle="1" w:styleId="B1Char">
    <w:name w:val="B1 Char"/>
    <w:link w:val="B1"/>
    <w:qFormat/>
    <w:rsid w:val="005F411D"/>
    <w:rPr>
      <w:rFonts w:ascii="Times New Roman" w:eastAsia="Times New Roman" w:hAnsi="Times New Roman" w:cs="Times New Roman"/>
      <w:sz w:val="20"/>
      <w:szCs w:val="20"/>
      <w:lang w:val="en-GB"/>
    </w:rPr>
  </w:style>
  <w:style w:type="character" w:customStyle="1" w:styleId="B2Char">
    <w:name w:val="B2 Char"/>
    <w:link w:val="B2"/>
    <w:qFormat/>
    <w:locked/>
    <w:rsid w:val="005F411D"/>
    <w:rPr>
      <w:rFonts w:ascii="Times New Roman" w:eastAsia="Times New Roman" w:hAnsi="Times New Roman" w:cs="Times New Roman"/>
      <w:sz w:val="20"/>
      <w:szCs w:val="20"/>
      <w:lang w:val="en-GB"/>
    </w:rPr>
  </w:style>
  <w:style w:type="character" w:customStyle="1" w:styleId="B3Char">
    <w:name w:val="B3 Char"/>
    <w:link w:val="B3"/>
    <w:qFormat/>
    <w:locked/>
    <w:rsid w:val="005F411D"/>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5F411D"/>
    <w:pPr>
      <w:ind w:left="283" w:hanging="283"/>
      <w:contextualSpacing/>
    </w:pPr>
  </w:style>
  <w:style w:type="paragraph" w:styleId="List2">
    <w:name w:val="List 2"/>
    <w:basedOn w:val="Normal"/>
    <w:uiPriority w:val="99"/>
    <w:semiHidden/>
    <w:unhideWhenUsed/>
    <w:rsid w:val="005F411D"/>
    <w:pPr>
      <w:ind w:left="566" w:hanging="283"/>
      <w:contextualSpacing/>
    </w:pPr>
  </w:style>
  <w:style w:type="paragraph" w:styleId="List3">
    <w:name w:val="List 3"/>
    <w:basedOn w:val="Normal"/>
    <w:uiPriority w:val="99"/>
    <w:semiHidden/>
    <w:unhideWhenUsed/>
    <w:rsid w:val="005F411D"/>
    <w:pPr>
      <w:ind w:left="849" w:hanging="283"/>
      <w:contextualSpacing/>
    </w:pPr>
  </w:style>
  <w:style w:type="character" w:customStyle="1" w:styleId="TALCar">
    <w:name w:val="TAL Car"/>
    <w:link w:val="TAL"/>
    <w:qFormat/>
    <w:locked/>
    <w:rsid w:val="003E573D"/>
    <w:rPr>
      <w:rFonts w:ascii="Arial" w:hAnsi="Arial"/>
      <w:kern w:val="2"/>
      <w:sz w:val="18"/>
      <w14:ligatures w14:val="standardContextual"/>
    </w:rPr>
  </w:style>
  <w:style w:type="paragraph" w:customStyle="1" w:styleId="TAL">
    <w:name w:val="TAL"/>
    <w:basedOn w:val="Normal"/>
    <w:link w:val="TALCar"/>
    <w:rsid w:val="003E573D"/>
    <w:pPr>
      <w:keepNext/>
      <w:keepLines/>
      <w:spacing w:after="0" w:line="256" w:lineRule="auto"/>
    </w:pPr>
    <w:rPr>
      <w:rFonts w:ascii="Arial" w:hAnsi="Arial"/>
      <w:kern w:val="2"/>
      <w:sz w:val="18"/>
      <w14:ligatures w14:val="standardContextual"/>
    </w:rPr>
  </w:style>
  <w:style w:type="paragraph" w:customStyle="1" w:styleId="Agreement">
    <w:name w:val="Agreement"/>
    <w:basedOn w:val="Normal"/>
    <w:next w:val="Normal"/>
    <w:uiPriority w:val="99"/>
    <w:qFormat/>
    <w:rsid w:val="003E573D"/>
    <w:pPr>
      <w:numPr>
        <w:numId w:val="10"/>
      </w:numPr>
      <w:spacing w:before="60" w:after="0" w:line="256" w:lineRule="auto"/>
    </w:pPr>
    <w:rPr>
      <w:rFonts w:ascii="Arial" w:eastAsia="MS Mincho" w:hAnsi="Arial"/>
      <w:b/>
      <w:kern w:val="2"/>
      <w:sz w:val="22"/>
      <w:szCs w:val="24"/>
      <w14:ligatures w14:val="standardContextual"/>
    </w:rPr>
  </w:style>
  <w:style w:type="paragraph" w:customStyle="1" w:styleId="TAH">
    <w:name w:val="TAH"/>
    <w:basedOn w:val="TAC"/>
    <w:link w:val="TAHCar"/>
    <w:qFormat/>
    <w:rsid w:val="006C0C4C"/>
    <w:rPr>
      <w:b/>
    </w:rPr>
  </w:style>
  <w:style w:type="paragraph" w:customStyle="1" w:styleId="TAC">
    <w:name w:val="TAC"/>
    <w:basedOn w:val="Normal"/>
    <w:link w:val="TACChar"/>
    <w:qFormat/>
    <w:rsid w:val="006C0C4C"/>
    <w:pPr>
      <w:keepNext/>
      <w:keepLines/>
      <w:spacing w:after="0" w:line="240" w:lineRule="auto"/>
      <w:jc w:val="center"/>
    </w:pPr>
    <w:rPr>
      <w:rFonts w:ascii="Arial" w:eastAsia="SimSun" w:hAnsi="Arial" w:cs="Times New Roman"/>
      <w:sz w:val="18"/>
      <w:szCs w:val="20"/>
      <w:lang w:val="en-GB"/>
    </w:rPr>
  </w:style>
  <w:style w:type="paragraph" w:customStyle="1" w:styleId="TH">
    <w:name w:val="TH"/>
    <w:basedOn w:val="Normal"/>
    <w:link w:val="THChar"/>
    <w:qFormat/>
    <w:rsid w:val="006C0C4C"/>
    <w:pPr>
      <w:keepNext/>
      <w:keepLines/>
      <w:spacing w:before="60" w:after="180" w:line="240" w:lineRule="auto"/>
      <w:jc w:val="center"/>
    </w:pPr>
    <w:rPr>
      <w:rFonts w:ascii="Arial" w:eastAsia="SimSun" w:hAnsi="Arial" w:cs="Times New Roman"/>
      <w:b/>
      <w:szCs w:val="20"/>
      <w:lang w:val="en-GB"/>
    </w:rPr>
  </w:style>
  <w:style w:type="paragraph" w:customStyle="1" w:styleId="TAN">
    <w:name w:val="TAN"/>
    <w:basedOn w:val="Normal"/>
    <w:link w:val="TANChar"/>
    <w:qFormat/>
    <w:rsid w:val="006C0C4C"/>
    <w:pPr>
      <w:keepNext/>
      <w:keepLines/>
      <w:spacing w:after="0" w:line="240" w:lineRule="auto"/>
      <w:ind w:left="851" w:hanging="851"/>
    </w:pPr>
    <w:rPr>
      <w:rFonts w:ascii="Arial" w:eastAsia="SimSun" w:hAnsi="Arial" w:cs="Times New Roman"/>
      <w:sz w:val="18"/>
      <w:szCs w:val="20"/>
      <w:lang w:val="en-GB"/>
    </w:rPr>
  </w:style>
  <w:style w:type="character" w:customStyle="1" w:styleId="TAHCar">
    <w:name w:val="TAH Car"/>
    <w:link w:val="TAH"/>
    <w:qFormat/>
    <w:rsid w:val="006C0C4C"/>
    <w:rPr>
      <w:rFonts w:ascii="Arial" w:eastAsia="SimSun" w:hAnsi="Arial" w:cs="Times New Roman"/>
      <w:b/>
      <w:sz w:val="18"/>
      <w:szCs w:val="20"/>
      <w:lang w:val="en-GB"/>
    </w:rPr>
  </w:style>
  <w:style w:type="character" w:customStyle="1" w:styleId="THChar">
    <w:name w:val="TH Char"/>
    <w:link w:val="TH"/>
    <w:qFormat/>
    <w:rsid w:val="006C0C4C"/>
    <w:rPr>
      <w:rFonts w:ascii="Arial" w:eastAsia="SimSun" w:hAnsi="Arial" w:cs="Times New Roman"/>
      <w:b/>
      <w:sz w:val="20"/>
      <w:szCs w:val="20"/>
      <w:lang w:val="en-GB"/>
    </w:rPr>
  </w:style>
  <w:style w:type="character" w:customStyle="1" w:styleId="TANChar">
    <w:name w:val="TAN Char"/>
    <w:link w:val="TAN"/>
    <w:qFormat/>
    <w:rsid w:val="006C0C4C"/>
    <w:rPr>
      <w:rFonts w:ascii="Arial" w:eastAsia="SimSun" w:hAnsi="Arial" w:cs="Times New Roman"/>
      <w:sz w:val="18"/>
      <w:szCs w:val="20"/>
      <w:lang w:val="en-GB"/>
    </w:rPr>
  </w:style>
  <w:style w:type="character" w:customStyle="1" w:styleId="TACChar">
    <w:name w:val="TAC Char"/>
    <w:link w:val="TAC"/>
    <w:qFormat/>
    <w:rsid w:val="006C0C4C"/>
    <w:rPr>
      <w:rFonts w:ascii="Arial" w:eastAsia="SimSun" w:hAnsi="Arial" w:cs="Times New Roman"/>
      <w:sz w:val="18"/>
      <w:szCs w:val="20"/>
      <w:lang w:val="en-GB"/>
    </w:rPr>
  </w:style>
  <w:style w:type="paragraph" w:customStyle="1" w:styleId="B4">
    <w:name w:val="B4"/>
    <w:basedOn w:val="List4"/>
    <w:link w:val="B4Char"/>
    <w:qFormat/>
    <w:rsid w:val="006F202D"/>
    <w:pPr>
      <w:spacing w:after="180" w:line="240" w:lineRule="auto"/>
      <w:ind w:left="1418" w:hanging="284"/>
      <w:contextualSpacing w:val="0"/>
    </w:pPr>
    <w:rPr>
      <w:rFonts w:eastAsia="SimSun" w:cs="Times New Roman"/>
      <w:szCs w:val="20"/>
      <w:lang w:val="en-GB"/>
    </w:rPr>
  </w:style>
  <w:style w:type="character" w:customStyle="1" w:styleId="B4Char">
    <w:name w:val="B4 Char"/>
    <w:link w:val="B4"/>
    <w:qFormat/>
    <w:rsid w:val="006F202D"/>
    <w:rPr>
      <w:rFonts w:ascii="Times New Roman" w:eastAsia="SimSun" w:hAnsi="Times New Roman" w:cs="Times New Roman"/>
      <w:sz w:val="20"/>
      <w:szCs w:val="20"/>
      <w:lang w:val="en-GB"/>
    </w:rPr>
  </w:style>
  <w:style w:type="paragraph" w:styleId="List4">
    <w:name w:val="List 4"/>
    <w:basedOn w:val="Normal"/>
    <w:uiPriority w:val="99"/>
    <w:semiHidden/>
    <w:unhideWhenUsed/>
    <w:rsid w:val="006F202D"/>
    <w:pPr>
      <w:ind w:left="1132" w:hanging="283"/>
      <w:contextualSpacing/>
    </w:pPr>
  </w:style>
  <w:style w:type="paragraph" w:customStyle="1" w:styleId="NO">
    <w:name w:val="NO"/>
    <w:basedOn w:val="Normal"/>
    <w:link w:val="NOChar"/>
    <w:qFormat/>
    <w:rsid w:val="005F1F51"/>
    <w:pPr>
      <w:keepLines/>
      <w:spacing w:after="180" w:line="240" w:lineRule="auto"/>
      <w:ind w:left="1135" w:hanging="851"/>
    </w:pPr>
    <w:rPr>
      <w:rFonts w:eastAsia="Times New Roman" w:cs="Times New Roman"/>
      <w:szCs w:val="20"/>
      <w:lang w:val="en-GB"/>
    </w:rPr>
  </w:style>
  <w:style w:type="character" w:customStyle="1" w:styleId="NOChar">
    <w:name w:val="NO Char"/>
    <w:link w:val="NO"/>
    <w:qFormat/>
    <w:rsid w:val="005F1F51"/>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70938">
      <w:bodyDiv w:val="1"/>
      <w:marLeft w:val="0"/>
      <w:marRight w:val="0"/>
      <w:marTop w:val="0"/>
      <w:marBottom w:val="0"/>
      <w:divBdr>
        <w:top w:val="none" w:sz="0" w:space="0" w:color="auto"/>
        <w:left w:val="none" w:sz="0" w:space="0" w:color="auto"/>
        <w:bottom w:val="none" w:sz="0" w:space="0" w:color="auto"/>
        <w:right w:val="none" w:sz="0" w:space="0" w:color="auto"/>
      </w:divBdr>
    </w:div>
    <w:div w:id="24792958">
      <w:bodyDiv w:val="1"/>
      <w:marLeft w:val="0"/>
      <w:marRight w:val="0"/>
      <w:marTop w:val="0"/>
      <w:marBottom w:val="0"/>
      <w:divBdr>
        <w:top w:val="none" w:sz="0" w:space="0" w:color="auto"/>
        <w:left w:val="none" w:sz="0" w:space="0" w:color="auto"/>
        <w:bottom w:val="none" w:sz="0" w:space="0" w:color="auto"/>
        <w:right w:val="none" w:sz="0" w:space="0" w:color="auto"/>
      </w:divBdr>
    </w:div>
    <w:div w:id="29577038">
      <w:bodyDiv w:val="1"/>
      <w:marLeft w:val="0"/>
      <w:marRight w:val="0"/>
      <w:marTop w:val="0"/>
      <w:marBottom w:val="0"/>
      <w:divBdr>
        <w:top w:val="none" w:sz="0" w:space="0" w:color="auto"/>
        <w:left w:val="none" w:sz="0" w:space="0" w:color="auto"/>
        <w:bottom w:val="none" w:sz="0" w:space="0" w:color="auto"/>
        <w:right w:val="none" w:sz="0" w:space="0" w:color="auto"/>
      </w:divBdr>
      <w:divsChild>
        <w:div w:id="469323161">
          <w:marLeft w:val="0"/>
          <w:marRight w:val="0"/>
          <w:marTop w:val="0"/>
          <w:marBottom w:val="0"/>
          <w:divBdr>
            <w:top w:val="none" w:sz="0" w:space="0" w:color="auto"/>
            <w:left w:val="none" w:sz="0" w:space="0" w:color="auto"/>
            <w:bottom w:val="none" w:sz="0" w:space="0" w:color="auto"/>
            <w:right w:val="none" w:sz="0" w:space="0" w:color="auto"/>
          </w:divBdr>
        </w:div>
        <w:div w:id="1390810249">
          <w:marLeft w:val="0"/>
          <w:marRight w:val="0"/>
          <w:marTop w:val="0"/>
          <w:marBottom w:val="0"/>
          <w:divBdr>
            <w:top w:val="none" w:sz="0" w:space="0" w:color="auto"/>
            <w:left w:val="none" w:sz="0" w:space="0" w:color="auto"/>
            <w:bottom w:val="none" w:sz="0" w:space="0" w:color="auto"/>
            <w:right w:val="none" w:sz="0" w:space="0" w:color="auto"/>
          </w:divBdr>
        </w:div>
        <w:div w:id="1503621297">
          <w:marLeft w:val="0"/>
          <w:marRight w:val="0"/>
          <w:marTop w:val="0"/>
          <w:marBottom w:val="0"/>
          <w:divBdr>
            <w:top w:val="none" w:sz="0" w:space="0" w:color="auto"/>
            <w:left w:val="none" w:sz="0" w:space="0" w:color="auto"/>
            <w:bottom w:val="none" w:sz="0" w:space="0" w:color="auto"/>
            <w:right w:val="none" w:sz="0" w:space="0" w:color="auto"/>
          </w:divBdr>
        </w:div>
      </w:divsChild>
    </w:div>
    <w:div w:id="78910192">
      <w:bodyDiv w:val="1"/>
      <w:marLeft w:val="0"/>
      <w:marRight w:val="0"/>
      <w:marTop w:val="0"/>
      <w:marBottom w:val="0"/>
      <w:divBdr>
        <w:top w:val="none" w:sz="0" w:space="0" w:color="auto"/>
        <w:left w:val="none" w:sz="0" w:space="0" w:color="auto"/>
        <w:bottom w:val="none" w:sz="0" w:space="0" w:color="auto"/>
        <w:right w:val="none" w:sz="0" w:space="0" w:color="auto"/>
      </w:divBdr>
    </w:div>
    <w:div w:id="104424488">
      <w:bodyDiv w:val="1"/>
      <w:marLeft w:val="0"/>
      <w:marRight w:val="0"/>
      <w:marTop w:val="0"/>
      <w:marBottom w:val="0"/>
      <w:divBdr>
        <w:top w:val="none" w:sz="0" w:space="0" w:color="auto"/>
        <w:left w:val="none" w:sz="0" w:space="0" w:color="auto"/>
        <w:bottom w:val="none" w:sz="0" w:space="0" w:color="auto"/>
        <w:right w:val="none" w:sz="0" w:space="0" w:color="auto"/>
      </w:divBdr>
    </w:div>
    <w:div w:id="137261874">
      <w:bodyDiv w:val="1"/>
      <w:marLeft w:val="0"/>
      <w:marRight w:val="0"/>
      <w:marTop w:val="0"/>
      <w:marBottom w:val="0"/>
      <w:divBdr>
        <w:top w:val="none" w:sz="0" w:space="0" w:color="auto"/>
        <w:left w:val="none" w:sz="0" w:space="0" w:color="auto"/>
        <w:bottom w:val="none" w:sz="0" w:space="0" w:color="auto"/>
        <w:right w:val="none" w:sz="0" w:space="0" w:color="auto"/>
      </w:divBdr>
    </w:div>
    <w:div w:id="156188608">
      <w:bodyDiv w:val="1"/>
      <w:marLeft w:val="0"/>
      <w:marRight w:val="0"/>
      <w:marTop w:val="0"/>
      <w:marBottom w:val="0"/>
      <w:divBdr>
        <w:top w:val="none" w:sz="0" w:space="0" w:color="auto"/>
        <w:left w:val="none" w:sz="0" w:space="0" w:color="auto"/>
        <w:bottom w:val="none" w:sz="0" w:space="0" w:color="auto"/>
        <w:right w:val="none" w:sz="0" w:space="0" w:color="auto"/>
      </w:divBdr>
    </w:div>
    <w:div w:id="175274746">
      <w:bodyDiv w:val="1"/>
      <w:marLeft w:val="0"/>
      <w:marRight w:val="0"/>
      <w:marTop w:val="0"/>
      <w:marBottom w:val="0"/>
      <w:divBdr>
        <w:top w:val="none" w:sz="0" w:space="0" w:color="auto"/>
        <w:left w:val="none" w:sz="0" w:space="0" w:color="auto"/>
        <w:bottom w:val="none" w:sz="0" w:space="0" w:color="auto"/>
        <w:right w:val="none" w:sz="0" w:space="0" w:color="auto"/>
      </w:divBdr>
    </w:div>
    <w:div w:id="176120931">
      <w:bodyDiv w:val="1"/>
      <w:marLeft w:val="0"/>
      <w:marRight w:val="0"/>
      <w:marTop w:val="0"/>
      <w:marBottom w:val="0"/>
      <w:divBdr>
        <w:top w:val="none" w:sz="0" w:space="0" w:color="auto"/>
        <w:left w:val="none" w:sz="0" w:space="0" w:color="auto"/>
        <w:bottom w:val="none" w:sz="0" w:space="0" w:color="auto"/>
        <w:right w:val="none" w:sz="0" w:space="0" w:color="auto"/>
      </w:divBdr>
    </w:div>
    <w:div w:id="181630812">
      <w:bodyDiv w:val="1"/>
      <w:marLeft w:val="0"/>
      <w:marRight w:val="0"/>
      <w:marTop w:val="0"/>
      <w:marBottom w:val="0"/>
      <w:divBdr>
        <w:top w:val="none" w:sz="0" w:space="0" w:color="auto"/>
        <w:left w:val="none" w:sz="0" w:space="0" w:color="auto"/>
        <w:bottom w:val="none" w:sz="0" w:space="0" w:color="auto"/>
        <w:right w:val="none" w:sz="0" w:space="0" w:color="auto"/>
      </w:divBdr>
      <w:divsChild>
        <w:div w:id="617491075">
          <w:marLeft w:val="0"/>
          <w:marRight w:val="0"/>
          <w:marTop w:val="0"/>
          <w:marBottom w:val="0"/>
          <w:divBdr>
            <w:top w:val="none" w:sz="0" w:space="0" w:color="auto"/>
            <w:left w:val="none" w:sz="0" w:space="0" w:color="auto"/>
            <w:bottom w:val="none" w:sz="0" w:space="0" w:color="auto"/>
            <w:right w:val="none" w:sz="0" w:space="0" w:color="auto"/>
          </w:divBdr>
        </w:div>
      </w:divsChild>
    </w:div>
    <w:div w:id="183134898">
      <w:bodyDiv w:val="1"/>
      <w:marLeft w:val="0"/>
      <w:marRight w:val="0"/>
      <w:marTop w:val="0"/>
      <w:marBottom w:val="0"/>
      <w:divBdr>
        <w:top w:val="none" w:sz="0" w:space="0" w:color="auto"/>
        <w:left w:val="none" w:sz="0" w:space="0" w:color="auto"/>
        <w:bottom w:val="none" w:sz="0" w:space="0" w:color="auto"/>
        <w:right w:val="none" w:sz="0" w:space="0" w:color="auto"/>
      </w:divBdr>
    </w:div>
    <w:div w:id="211353889">
      <w:bodyDiv w:val="1"/>
      <w:marLeft w:val="0"/>
      <w:marRight w:val="0"/>
      <w:marTop w:val="0"/>
      <w:marBottom w:val="0"/>
      <w:divBdr>
        <w:top w:val="none" w:sz="0" w:space="0" w:color="auto"/>
        <w:left w:val="none" w:sz="0" w:space="0" w:color="auto"/>
        <w:bottom w:val="none" w:sz="0" w:space="0" w:color="auto"/>
        <w:right w:val="none" w:sz="0" w:space="0" w:color="auto"/>
      </w:divBdr>
    </w:div>
    <w:div w:id="219708168">
      <w:bodyDiv w:val="1"/>
      <w:marLeft w:val="0"/>
      <w:marRight w:val="0"/>
      <w:marTop w:val="0"/>
      <w:marBottom w:val="0"/>
      <w:divBdr>
        <w:top w:val="none" w:sz="0" w:space="0" w:color="auto"/>
        <w:left w:val="none" w:sz="0" w:space="0" w:color="auto"/>
        <w:bottom w:val="none" w:sz="0" w:space="0" w:color="auto"/>
        <w:right w:val="none" w:sz="0" w:space="0" w:color="auto"/>
      </w:divBdr>
    </w:div>
    <w:div w:id="224146720">
      <w:bodyDiv w:val="1"/>
      <w:marLeft w:val="0"/>
      <w:marRight w:val="0"/>
      <w:marTop w:val="0"/>
      <w:marBottom w:val="0"/>
      <w:divBdr>
        <w:top w:val="none" w:sz="0" w:space="0" w:color="auto"/>
        <w:left w:val="none" w:sz="0" w:space="0" w:color="auto"/>
        <w:bottom w:val="none" w:sz="0" w:space="0" w:color="auto"/>
        <w:right w:val="none" w:sz="0" w:space="0" w:color="auto"/>
      </w:divBdr>
      <w:divsChild>
        <w:div w:id="850293843">
          <w:marLeft w:val="0"/>
          <w:marRight w:val="0"/>
          <w:marTop w:val="0"/>
          <w:marBottom w:val="0"/>
          <w:divBdr>
            <w:top w:val="none" w:sz="0" w:space="0" w:color="auto"/>
            <w:left w:val="none" w:sz="0" w:space="0" w:color="auto"/>
            <w:bottom w:val="none" w:sz="0" w:space="0" w:color="auto"/>
            <w:right w:val="none" w:sz="0" w:space="0" w:color="auto"/>
          </w:divBdr>
        </w:div>
        <w:div w:id="1857112059">
          <w:marLeft w:val="0"/>
          <w:marRight w:val="0"/>
          <w:marTop w:val="0"/>
          <w:marBottom w:val="0"/>
          <w:divBdr>
            <w:top w:val="none" w:sz="0" w:space="0" w:color="auto"/>
            <w:left w:val="none" w:sz="0" w:space="0" w:color="auto"/>
            <w:bottom w:val="none" w:sz="0" w:space="0" w:color="auto"/>
            <w:right w:val="none" w:sz="0" w:space="0" w:color="auto"/>
          </w:divBdr>
          <w:divsChild>
            <w:div w:id="652218095">
              <w:marLeft w:val="0"/>
              <w:marRight w:val="0"/>
              <w:marTop w:val="0"/>
              <w:marBottom w:val="0"/>
              <w:divBdr>
                <w:top w:val="none" w:sz="0" w:space="0" w:color="auto"/>
                <w:left w:val="none" w:sz="0" w:space="0" w:color="auto"/>
                <w:bottom w:val="none" w:sz="0" w:space="0" w:color="auto"/>
                <w:right w:val="none" w:sz="0" w:space="0" w:color="auto"/>
              </w:divBdr>
            </w:div>
            <w:div w:id="710691278">
              <w:marLeft w:val="0"/>
              <w:marRight w:val="0"/>
              <w:marTop w:val="0"/>
              <w:marBottom w:val="0"/>
              <w:divBdr>
                <w:top w:val="none" w:sz="0" w:space="0" w:color="auto"/>
                <w:left w:val="none" w:sz="0" w:space="0" w:color="auto"/>
                <w:bottom w:val="none" w:sz="0" w:space="0" w:color="auto"/>
                <w:right w:val="none" w:sz="0" w:space="0" w:color="auto"/>
              </w:divBdr>
            </w:div>
            <w:div w:id="929579427">
              <w:marLeft w:val="0"/>
              <w:marRight w:val="0"/>
              <w:marTop w:val="0"/>
              <w:marBottom w:val="0"/>
              <w:divBdr>
                <w:top w:val="none" w:sz="0" w:space="0" w:color="auto"/>
                <w:left w:val="none" w:sz="0" w:space="0" w:color="auto"/>
                <w:bottom w:val="none" w:sz="0" w:space="0" w:color="auto"/>
                <w:right w:val="none" w:sz="0" w:space="0" w:color="auto"/>
              </w:divBdr>
            </w:div>
            <w:div w:id="1481001628">
              <w:marLeft w:val="0"/>
              <w:marRight w:val="0"/>
              <w:marTop w:val="0"/>
              <w:marBottom w:val="0"/>
              <w:divBdr>
                <w:top w:val="none" w:sz="0" w:space="0" w:color="auto"/>
                <w:left w:val="none" w:sz="0" w:space="0" w:color="auto"/>
                <w:bottom w:val="none" w:sz="0" w:space="0" w:color="auto"/>
                <w:right w:val="none" w:sz="0" w:space="0" w:color="auto"/>
              </w:divBdr>
            </w:div>
            <w:div w:id="1720011647">
              <w:marLeft w:val="0"/>
              <w:marRight w:val="0"/>
              <w:marTop w:val="0"/>
              <w:marBottom w:val="0"/>
              <w:divBdr>
                <w:top w:val="none" w:sz="0" w:space="0" w:color="auto"/>
                <w:left w:val="none" w:sz="0" w:space="0" w:color="auto"/>
                <w:bottom w:val="none" w:sz="0" w:space="0" w:color="auto"/>
                <w:right w:val="none" w:sz="0" w:space="0" w:color="auto"/>
              </w:divBdr>
            </w:div>
            <w:div w:id="198909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542413">
      <w:bodyDiv w:val="1"/>
      <w:marLeft w:val="0"/>
      <w:marRight w:val="0"/>
      <w:marTop w:val="0"/>
      <w:marBottom w:val="0"/>
      <w:divBdr>
        <w:top w:val="none" w:sz="0" w:space="0" w:color="auto"/>
        <w:left w:val="none" w:sz="0" w:space="0" w:color="auto"/>
        <w:bottom w:val="none" w:sz="0" w:space="0" w:color="auto"/>
        <w:right w:val="none" w:sz="0" w:space="0" w:color="auto"/>
      </w:divBdr>
    </w:div>
    <w:div w:id="292910368">
      <w:bodyDiv w:val="1"/>
      <w:marLeft w:val="0"/>
      <w:marRight w:val="0"/>
      <w:marTop w:val="0"/>
      <w:marBottom w:val="0"/>
      <w:divBdr>
        <w:top w:val="none" w:sz="0" w:space="0" w:color="auto"/>
        <w:left w:val="none" w:sz="0" w:space="0" w:color="auto"/>
        <w:bottom w:val="none" w:sz="0" w:space="0" w:color="auto"/>
        <w:right w:val="none" w:sz="0" w:space="0" w:color="auto"/>
      </w:divBdr>
    </w:div>
    <w:div w:id="296569661">
      <w:bodyDiv w:val="1"/>
      <w:marLeft w:val="0"/>
      <w:marRight w:val="0"/>
      <w:marTop w:val="0"/>
      <w:marBottom w:val="0"/>
      <w:divBdr>
        <w:top w:val="none" w:sz="0" w:space="0" w:color="auto"/>
        <w:left w:val="none" w:sz="0" w:space="0" w:color="auto"/>
        <w:bottom w:val="none" w:sz="0" w:space="0" w:color="auto"/>
        <w:right w:val="none" w:sz="0" w:space="0" w:color="auto"/>
      </w:divBdr>
    </w:div>
    <w:div w:id="300428642">
      <w:bodyDiv w:val="1"/>
      <w:marLeft w:val="0"/>
      <w:marRight w:val="0"/>
      <w:marTop w:val="0"/>
      <w:marBottom w:val="0"/>
      <w:divBdr>
        <w:top w:val="none" w:sz="0" w:space="0" w:color="auto"/>
        <w:left w:val="none" w:sz="0" w:space="0" w:color="auto"/>
        <w:bottom w:val="none" w:sz="0" w:space="0" w:color="auto"/>
        <w:right w:val="none" w:sz="0" w:space="0" w:color="auto"/>
      </w:divBdr>
    </w:div>
    <w:div w:id="327370643">
      <w:bodyDiv w:val="1"/>
      <w:marLeft w:val="0"/>
      <w:marRight w:val="0"/>
      <w:marTop w:val="0"/>
      <w:marBottom w:val="0"/>
      <w:divBdr>
        <w:top w:val="none" w:sz="0" w:space="0" w:color="auto"/>
        <w:left w:val="none" w:sz="0" w:space="0" w:color="auto"/>
        <w:bottom w:val="none" w:sz="0" w:space="0" w:color="auto"/>
        <w:right w:val="none" w:sz="0" w:space="0" w:color="auto"/>
      </w:divBdr>
    </w:div>
    <w:div w:id="378020394">
      <w:bodyDiv w:val="1"/>
      <w:marLeft w:val="0"/>
      <w:marRight w:val="0"/>
      <w:marTop w:val="0"/>
      <w:marBottom w:val="0"/>
      <w:divBdr>
        <w:top w:val="none" w:sz="0" w:space="0" w:color="auto"/>
        <w:left w:val="none" w:sz="0" w:space="0" w:color="auto"/>
        <w:bottom w:val="none" w:sz="0" w:space="0" w:color="auto"/>
        <w:right w:val="none" w:sz="0" w:space="0" w:color="auto"/>
      </w:divBdr>
    </w:div>
    <w:div w:id="384136366">
      <w:bodyDiv w:val="1"/>
      <w:marLeft w:val="0"/>
      <w:marRight w:val="0"/>
      <w:marTop w:val="0"/>
      <w:marBottom w:val="0"/>
      <w:divBdr>
        <w:top w:val="none" w:sz="0" w:space="0" w:color="auto"/>
        <w:left w:val="none" w:sz="0" w:space="0" w:color="auto"/>
        <w:bottom w:val="none" w:sz="0" w:space="0" w:color="auto"/>
        <w:right w:val="none" w:sz="0" w:space="0" w:color="auto"/>
      </w:divBdr>
    </w:div>
    <w:div w:id="388845050">
      <w:bodyDiv w:val="1"/>
      <w:marLeft w:val="0"/>
      <w:marRight w:val="0"/>
      <w:marTop w:val="0"/>
      <w:marBottom w:val="0"/>
      <w:divBdr>
        <w:top w:val="none" w:sz="0" w:space="0" w:color="auto"/>
        <w:left w:val="none" w:sz="0" w:space="0" w:color="auto"/>
        <w:bottom w:val="none" w:sz="0" w:space="0" w:color="auto"/>
        <w:right w:val="none" w:sz="0" w:space="0" w:color="auto"/>
      </w:divBdr>
      <w:divsChild>
        <w:div w:id="1473906071">
          <w:marLeft w:val="0"/>
          <w:marRight w:val="0"/>
          <w:marTop w:val="0"/>
          <w:marBottom w:val="0"/>
          <w:divBdr>
            <w:top w:val="none" w:sz="0" w:space="0" w:color="auto"/>
            <w:left w:val="none" w:sz="0" w:space="0" w:color="auto"/>
            <w:bottom w:val="none" w:sz="0" w:space="0" w:color="auto"/>
            <w:right w:val="none" w:sz="0" w:space="0" w:color="auto"/>
          </w:divBdr>
        </w:div>
      </w:divsChild>
    </w:div>
    <w:div w:id="412431311">
      <w:bodyDiv w:val="1"/>
      <w:marLeft w:val="0"/>
      <w:marRight w:val="0"/>
      <w:marTop w:val="0"/>
      <w:marBottom w:val="0"/>
      <w:divBdr>
        <w:top w:val="none" w:sz="0" w:space="0" w:color="auto"/>
        <w:left w:val="none" w:sz="0" w:space="0" w:color="auto"/>
        <w:bottom w:val="none" w:sz="0" w:space="0" w:color="auto"/>
        <w:right w:val="none" w:sz="0" w:space="0" w:color="auto"/>
      </w:divBdr>
    </w:div>
    <w:div w:id="429935012">
      <w:bodyDiv w:val="1"/>
      <w:marLeft w:val="0"/>
      <w:marRight w:val="0"/>
      <w:marTop w:val="0"/>
      <w:marBottom w:val="0"/>
      <w:divBdr>
        <w:top w:val="none" w:sz="0" w:space="0" w:color="auto"/>
        <w:left w:val="none" w:sz="0" w:space="0" w:color="auto"/>
        <w:bottom w:val="none" w:sz="0" w:space="0" w:color="auto"/>
        <w:right w:val="none" w:sz="0" w:space="0" w:color="auto"/>
      </w:divBdr>
    </w:div>
    <w:div w:id="470290318">
      <w:bodyDiv w:val="1"/>
      <w:marLeft w:val="0"/>
      <w:marRight w:val="0"/>
      <w:marTop w:val="0"/>
      <w:marBottom w:val="0"/>
      <w:divBdr>
        <w:top w:val="none" w:sz="0" w:space="0" w:color="auto"/>
        <w:left w:val="none" w:sz="0" w:space="0" w:color="auto"/>
        <w:bottom w:val="none" w:sz="0" w:space="0" w:color="auto"/>
        <w:right w:val="none" w:sz="0" w:space="0" w:color="auto"/>
      </w:divBdr>
    </w:div>
    <w:div w:id="482628445">
      <w:bodyDiv w:val="1"/>
      <w:marLeft w:val="0"/>
      <w:marRight w:val="0"/>
      <w:marTop w:val="0"/>
      <w:marBottom w:val="0"/>
      <w:divBdr>
        <w:top w:val="none" w:sz="0" w:space="0" w:color="auto"/>
        <w:left w:val="none" w:sz="0" w:space="0" w:color="auto"/>
        <w:bottom w:val="none" w:sz="0" w:space="0" w:color="auto"/>
        <w:right w:val="none" w:sz="0" w:space="0" w:color="auto"/>
      </w:divBdr>
    </w:div>
    <w:div w:id="499733393">
      <w:bodyDiv w:val="1"/>
      <w:marLeft w:val="0"/>
      <w:marRight w:val="0"/>
      <w:marTop w:val="0"/>
      <w:marBottom w:val="0"/>
      <w:divBdr>
        <w:top w:val="none" w:sz="0" w:space="0" w:color="auto"/>
        <w:left w:val="none" w:sz="0" w:space="0" w:color="auto"/>
        <w:bottom w:val="none" w:sz="0" w:space="0" w:color="auto"/>
        <w:right w:val="none" w:sz="0" w:space="0" w:color="auto"/>
      </w:divBdr>
    </w:div>
    <w:div w:id="501433038">
      <w:bodyDiv w:val="1"/>
      <w:marLeft w:val="0"/>
      <w:marRight w:val="0"/>
      <w:marTop w:val="0"/>
      <w:marBottom w:val="0"/>
      <w:divBdr>
        <w:top w:val="none" w:sz="0" w:space="0" w:color="auto"/>
        <w:left w:val="none" w:sz="0" w:space="0" w:color="auto"/>
        <w:bottom w:val="none" w:sz="0" w:space="0" w:color="auto"/>
        <w:right w:val="none" w:sz="0" w:space="0" w:color="auto"/>
      </w:divBdr>
    </w:div>
    <w:div w:id="503058175">
      <w:bodyDiv w:val="1"/>
      <w:marLeft w:val="0"/>
      <w:marRight w:val="0"/>
      <w:marTop w:val="0"/>
      <w:marBottom w:val="0"/>
      <w:divBdr>
        <w:top w:val="none" w:sz="0" w:space="0" w:color="auto"/>
        <w:left w:val="none" w:sz="0" w:space="0" w:color="auto"/>
        <w:bottom w:val="none" w:sz="0" w:space="0" w:color="auto"/>
        <w:right w:val="none" w:sz="0" w:space="0" w:color="auto"/>
      </w:divBdr>
    </w:div>
    <w:div w:id="505942545">
      <w:bodyDiv w:val="1"/>
      <w:marLeft w:val="0"/>
      <w:marRight w:val="0"/>
      <w:marTop w:val="0"/>
      <w:marBottom w:val="0"/>
      <w:divBdr>
        <w:top w:val="none" w:sz="0" w:space="0" w:color="auto"/>
        <w:left w:val="none" w:sz="0" w:space="0" w:color="auto"/>
        <w:bottom w:val="none" w:sz="0" w:space="0" w:color="auto"/>
        <w:right w:val="none" w:sz="0" w:space="0" w:color="auto"/>
      </w:divBdr>
    </w:div>
    <w:div w:id="516117406">
      <w:bodyDiv w:val="1"/>
      <w:marLeft w:val="0"/>
      <w:marRight w:val="0"/>
      <w:marTop w:val="0"/>
      <w:marBottom w:val="0"/>
      <w:divBdr>
        <w:top w:val="none" w:sz="0" w:space="0" w:color="auto"/>
        <w:left w:val="none" w:sz="0" w:space="0" w:color="auto"/>
        <w:bottom w:val="none" w:sz="0" w:space="0" w:color="auto"/>
        <w:right w:val="none" w:sz="0" w:space="0" w:color="auto"/>
      </w:divBdr>
      <w:divsChild>
        <w:div w:id="62342093">
          <w:marLeft w:val="0"/>
          <w:marRight w:val="0"/>
          <w:marTop w:val="0"/>
          <w:marBottom w:val="0"/>
          <w:divBdr>
            <w:top w:val="none" w:sz="0" w:space="0" w:color="auto"/>
            <w:left w:val="none" w:sz="0" w:space="0" w:color="auto"/>
            <w:bottom w:val="none" w:sz="0" w:space="0" w:color="auto"/>
            <w:right w:val="none" w:sz="0" w:space="0" w:color="auto"/>
          </w:divBdr>
        </w:div>
        <w:div w:id="1018655408">
          <w:marLeft w:val="0"/>
          <w:marRight w:val="0"/>
          <w:marTop w:val="0"/>
          <w:marBottom w:val="0"/>
          <w:divBdr>
            <w:top w:val="none" w:sz="0" w:space="0" w:color="auto"/>
            <w:left w:val="none" w:sz="0" w:space="0" w:color="auto"/>
            <w:bottom w:val="none" w:sz="0" w:space="0" w:color="auto"/>
            <w:right w:val="none" w:sz="0" w:space="0" w:color="auto"/>
          </w:divBdr>
        </w:div>
        <w:div w:id="1248731109">
          <w:marLeft w:val="0"/>
          <w:marRight w:val="0"/>
          <w:marTop w:val="0"/>
          <w:marBottom w:val="0"/>
          <w:divBdr>
            <w:top w:val="none" w:sz="0" w:space="0" w:color="auto"/>
            <w:left w:val="none" w:sz="0" w:space="0" w:color="auto"/>
            <w:bottom w:val="none" w:sz="0" w:space="0" w:color="auto"/>
            <w:right w:val="none" w:sz="0" w:space="0" w:color="auto"/>
          </w:divBdr>
        </w:div>
        <w:div w:id="1702631874">
          <w:marLeft w:val="0"/>
          <w:marRight w:val="0"/>
          <w:marTop w:val="0"/>
          <w:marBottom w:val="0"/>
          <w:divBdr>
            <w:top w:val="none" w:sz="0" w:space="0" w:color="auto"/>
            <w:left w:val="none" w:sz="0" w:space="0" w:color="auto"/>
            <w:bottom w:val="none" w:sz="0" w:space="0" w:color="auto"/>
            <w:right w:val="none" w:sz="0" w:space="0" w:color="auto"/>
          </w:divBdr>
        </w:div>
        <w:div w:id="2091385956">
          <w:marLeft w:val="0"/>
          <w:marRight w:val="0"/>
          <w:marTop w:val="0"/>
          <w:marBottom w:val="0"/>
          <w:divBdr>
            <w:top w:val="none" w:sz="0" w:space="0" w:color="auto"/>
            <w:left w:val="none" w:sz="0" w:space="0" w:color="auto"/>
            <w:bottom w:val="none" w:sz="0" w:space="0" w:color="auto"/>
            <w:right w:val="none" w:sz="0" w:space="0" w:color="auto"/>
          </w:divBdr>
        </w:div>
      </w:divsChild>
    </w:div>
    <w:div w:id="533883530">
      <w:bodyDiv w:val="1"/>
      <w:marLeft w:val="0"/>
      <w:marRight w:val="0"/>
      <w:marTop w:val="0"/>
      <w:marBottom w:val="0"/>
      <w:divBdr>
        <w:top w:val="none" w:sz="0" w:space="0" w:color="auto"/>
        <w:left w:val="none" w:sz="0" w:space="0" w:color="auto"/>
        <w:bottom w:val="none" w:sz="0" w:space="0" w:color="auto"/>
        <w:right w:val="none" w:sz="0" w:space="0" w:color="auto"/>
      </w:divBdr>
    </w:div>
    <w:div w:id="536698296">
      <w:bodyDiv w:val="1"/>
      <w:marLeft w:val="0"/>
      <w:marRight w:val="0"/>
      <w:marTop w:val="0"/>
      <w:marBottom w:val="0"/>
      <w:divBdr>
        <w:top w:val="none" w:sz="0" w:space="0" w:color="auto"/>
        <w:left w:val="none" w:sz="0" w:space="0" w:color="auto"/>
        <w:bottom w:val="none" w:sz="0" w:space="0" w:color="auto"/>
        <w:right w:val="none" w:sz="0" w:space="0" w:color="auto"/>
      </w:divBdr>
    </w:div>
    <w:div w:id="543831767">
      <w:bodyDiv w:val="1"/>
      <w:marLeft w:val="0"/>
      <w:marRight w:val="0"/>
      <w:marTop w:val="0"/>
      <w:marBottom w:val="0"/>
      <w:divBdr>
        <w:top w:val="none" w:sz="0" w:space="0" w:color="auto"/>
        <w:left w:val="none" w:sz="0" w:space="0" w:color="auto"/>
        <w:bottom w:val="none" w:sz="0" w:space="0" w:color="auto"/>
        <w:right w:val="none" w:sz="0" w:space="0" w:color="auto"/>
      </w:divBdr>
    </w:div>
    <w:div w:id="557785906">
      <w:bodyDiv w:val="1"/>
      <w:marLeft w:val="0"/>
      <w:marRight w:val="0"/>
      <w:marTop w:val="0"/>
      <w:marBottom w:val="0"/>
      <w:divBdr>
        <w:top w:val="none" w:sz="0" w:space="0" w:color="auto"/>
        <w:left w:val="none" w:sz="0" w:space="0" w:color="auto"/>
        <w:bottom w:val="none" w:sz="0" w:space="0" w:color="auto"/>
        <w:right w:val="none" w:sz="0" w:space="0" w:color="auto"/>
      </w:divBdr>
    </w:div>
    <w:div w:id="578832646">
      <w:bodyDiv w:val="1"/>
      <w:marLeft w:val="0"/>
      <w:marRight w:val="0"/>
      <w:marTop w:val="0"/>
      <w:marBottom w:val="0"/>
      <w:divBdr>
        <w:top w:val="none" w:sz="0" w:space="0" w:color="auto"/>
        <w:left w:val="none" w:sz="0" w:space="0" w:color="auto"/>
        <w:bottom w:val="none" w:sz="0" w:space="0" w:color="auto"/>
        <w:right w:val="none" w:sz="0" w:space="0" w:color="auto"/>
      </w:divBdr>
    </w:div>
    <w:div w:id="580675694">
      <w:bodyDiv w:val="1"/>
      <w:marLeft w:val="0"/>
      <w:marRight w:val="0"/>
      <w:marTop w:val="0"/>
      <w:marBottom w:val="0"/>
      <w:divBdr>
        <w:top w:val="none" w:sz="0" w:space="0" w:color="auto"/>
        <w:left w:val="none" w:sz="0" w:space="0" w:color="auto"/>
        <w:bottom w:val="none" w:sz="0" w:space="0" w:color="auto"/>
        <w:right w:val="none" w:sz="0" w:space="0" w:color="auto"/>
      </w:divBdr>
    </w:div>
    <w:div w:id="650060289">
      <w:bodyDiv w:val="1"/>
      <w:marLeft w:val="0"/>
      <w:marRight w:val="0"/>
      <w:marTop w:val="0"/>
      <w:marBottom w:val="0"/>
      <w:divBdr>
        <w:top w:val="none" w:sz="0" w:space="0" w:color="auto"/>
        <w:left w:val="none" w:sz="0" w:space="0" w:color="auto"/>
        <w:bottom w:val="none" w:sz="0" w:space="0" w:color="auto"/>
        <w:right w:val="none" w:sz="0" w:space="0" w:color="auto"/>
      </w:divBdr>
      <w:divsChild>
        <w:div w:id="922223110">
          <w:marLeft w:val="0"/>
          <w:marRight w:val="0"/>
          <w:marTop w:val="0"/>
          <w:marBottom w:val="0"/>
          <w:divBdr>
            <w:top w:val="none" w:sz="0" w:space="0" w:color="auto"/>
            <w:left w:val="none" w:sz="0" w:space="0" w:color="auto"/>
            <w:bottom w:val="none" w:sz="0" w:space="0" w:color="auto"/>
            <w:right w:val="none" w:sz="0" w:space="0" w:color="auto"/>
          </w:divBdr>
        </w:div>
        <w:div w:id="1412967515">
          <w:marLeft w:val="0"/>
          <w:marRight w:val="0"/>
          <w:marTop w:val="0"/>
          <w:marBottom w:val="0"/>
          <w:divBdr>
            <w:top w:val="none" w:sz="0" w:space="0" w:color="auto"/>
            <w:left w:val="none" w:sz="0" w:space="0" w:color="auto"/>
            <w:bottom w:val="none" w:sz="0" w:space="0" w:color="auto"/>
            <w:right w:val="none" w:sz="0" w:space="0" w:color="auto"/>
          </w:divBdr>
        </w:div>
        <w:div w:id="1767266167">
          <w:marLeft w:val="0"/>
          <w:marRight w:val="0"/>
          <w:marTop w:val="0"/>
          <w:marBottom w:val="0"/>
          <w:divBdr>
            <w:top w:val="none" w:sz="0" w:space="0" w:color="auto"/>
            <w:left w:val="none" w:sz="0" w:space="0" w:color="auto"/>
            <w:bottom w:val="none" w:sz="0" w:space="0" w:color="auto"/>
            <w:right w:val="none" w:sz="0" w:space="0" w:color="auto"/>
          </w:divBdr>
        </w:div>
      </w:divsChild>
    </w:div>
    <w:div w:id="675348701">
      <w:bodyDiv w:val="1"/>
      <w:marLeft w:val="0"/>
      <w:marRight w:val="0"/>
      <w:marTop w:val="0"/>
      <w:marBottom w:val="0"/>
      <w:divBdr>
        <w:top w:val="none" w:sz="0" w:space="0" w:color="auto"/>
        <w:left w:val="none" w:sz="0" w:space="0" w:color="auto"/>
        <w:bottom w:val="none" w:sz="0" w:space="0" w:color="auto"/>
        <w:right w:val="none" w:sz="0" w:space="0" w:color="auto"/>
      </w:divBdr>
    </w:div>
    <w:div w:id="685638553">
      <w:bodyDiv w:val="1"/>
      <w:marLeft w:val="0"/>
      <w:marRight w:val="0"/>
      <w:marTop w:val="0"/>
      <w:marBottom w:val="0"/>
      <w:divBdr>
        <w:top w:val="none" w:sz="0" w:space="0" w:color="auto"/>
        <w:left w:val="none" w:sz="0" w:space="0" w:color="auto"/>
        <w:bottom w:val="none" w:sz="0" w:space="0" w:color="auto"/>
        <w:right w:val="none" w:sz="0" w:space="0" w:color="auto"/>
      </w:divBdr>
    </w:div>
    <w:div w:id="735857207">
      <w:bodyDiv w:val="1"/>
      <w:marLeft w:val="0"/>
      <w:marRight w:val="0"/>
      <w:marTop w:val="0"/>
      <w:marBottom w:val="0"/>
      <w:divBdr>
        <w:top w:val="none" w:sz="0" w:space="0" w:color="auto"/>
        <w:left w:val="none" w:sz="0" w:space="0" w:color="auto"/>
        <w:bottom w:val="none" w:sz="0" w:space="0" w:color="auto"/>
        <w:right w:val="none" w:sz="0" w:space="0" w:color="auto"/>
      </w:divBdr>
    </w:div>
    <w:div w:id="754673383">
      <w:bodyDiv w:val="1"/>
      <w:marLeft w:val="0"/>
      <w:marRight w:val="0"/>
      <w:marTop w:val="0"/>
      <w:marBottom w:val="0"/>
      <w:divBdr>
        <w:top w:val="none" w:sz="0" w:space="0" w:color="auto"/>
        <w:left w:val="none" w:sz="0" w:space="0" w:color="auto"/>
        <w:bottom w:val="none" w:sz="0" w:space="0" w:color="auto"/>
        <w:right w:val="none" w:sz="0" w:space="0" w:color="auto"/>
      </w:divBdr>
    </w:div>
    <w:div w:id="781650045">
      <w:bodyDiv w:val="1"/>
      <w:marLeft w:val="0"/>
      <w:marRight w:val="0"/>
      <w:marTop w:val="0"/>
      <w:marBottom w:val="0"/>
      <w:divBdr>
        <w:top w:val="none" w:sz="0" w:space="0" w:color="auto"/>
        <w:left w:val="none" w:sz="0" w:space="0" w:color="auto"/>
        <w:bottom w:val="none" w:sz="0" w:space="0" w:color="auto"/>
        <w:right w:val="none" w:sz="0" w:space="0" w:color="auto"/>
      </w:divBdr>
      <w:divsChild>
        <w:div w:id="337005731">
          <w:marLeft w:val="0"/>
          <w:marRight w:val="0"/>
          <w:marTop w:val="0"/>
          <w:marBottom w:val="0"/>
          <w:divBdr>
            <w:top w:val="none" w:sz="0" w:space="0" w:color="auto"/>
            <w:left w:val="none" w:sz="0" w:space="0" w:color="auto"/>
            <w:bottom w:val="none" w:sz="0" w:space="0" w:color="auto"/>
            <w:right w:val="none" w:sz="0" w:space="0" w:color="auto"/>
          </w:divBdr>
          <w:divsChild>
            <w:div w:id="896668230">
              <w:marLeft w:val="0"/>
              <w:marRight w:val="0"/>
              <w:marTop w:val="0"/>
              <w:marBottom w:val="0"/>
              <w:divBdr>
                <w:top w:val="none" w:sz="0" w:space="0" w:color="auto"/>
                <w:left w:val="none" w:sz="0" w:space="0" w:color="auto"/>
                <w:bottom w:val="none" w:sz="0" w:space="0" w:color="auto"/>
                <w:right w:val="none" w:sz="0" w:space="0" w:color="auto"/>
              </w:divBdr>
            </w:div>
            <w:div w:id="902909369">
              <w:marLeft w:val="0"/>
              <w:marRight w:val="0"/>
              <w:marTop w:val="0"/>
              <w:marBottom w:val="0"/>
              <w:divBdr>
                <w:top w:val="none" w:sz="0" w:space="0" w:color="auto"/>
                <w:left w:val="none" w:sz="0" w:space="0" w:color="auto"/>
                <w:bottom w:val="none" w:sz="0" w:space="0" w:color="auto"/>
                <w:right w:val="none" w:sz="0" w:space="0" w:color="auto"/>
              </w:divBdr>
            </w:div>
          </w:divsChild>
        </w:div>
        <w:div w:id="1072115584">
          <w:marLeft w:val="0"/>
          <w:marRight w:val="0"/>
          <w:marTop w:val="0"/>
          <w:marBottom w:val="0"/>
          <w:divBdr>
            <w:top w:val="none" w:sz="0" w:space="0" w:color="auto"/>
            <w:left w:val="none" w:sz="0" w:space="0" w:color="auto"/>
            <w:bottom w:val="none" w:sz="0" w:space="0" w:color="auto"/>
            <w:right w:val="none" w:sz="0" w:space="0" w:color="auto"/>
          </w:divBdr>
        </w:div>
        <w:div w:id="1172719190">
          <w:marLeft w:val="0"/>
          <w:marRight w:val="0"/>
          <w:marTop w:val="0"/>
          <w:marBottom w:val="0"/>
          <w:divBdr>
            <w:top w:val="none" w:sz="0" w:space="0" w:color="auto"/>
            <w:left w:val="none" w:sz="0" w:space="0" w:color="auto"/>
            <w:bottom w:val="none" w:sz="0" w:space="0" w:color="auto"/>
            <w:right w:val="none" w:sz="0" w:space="0" w:color="auto"/>
          </w:divBdr>
        </w:div>
        <w:div w:id="1891109281">
          <w:marLeft w:val="0"/>
          <w:marRight w:val="0"/>
          <w:marTop w:val="0"/>
          <w:marBottom w:val="0"/>
          <w:divBdr>
            <w:top w:val="none" w:sz="0" w:space="0" w:color="auto"/>
            <w:left w:val="none" w:sz="0" w:space="0" w:color="auto"/>
            <w:bottom w:val="none" w:sz="0" w:space="0" w:color="auto"/>
            <w:right w:val="none" w:sz="0" w:space="0" w:color="auto"/>
          </w:divBdr>
          <w:divsChild>
            <w:div w:id="536620245">
              <w:marLeft w:val="0"/>
              <w:marRight w:val="0"/>
              <w:marTop w:val="0"/>
              <w:marBottom w:val="0"/>
              <w:divBdr>
                <w:top w:val="none" w:sz="0" w:space="0" w:color="auto"/>
                <w:left w:val="none" w:sz="0" w:space="0" w:color="auto"/>
                <w:bottom w:val="none" w:sz="0" w:space="0" w:color="auto"/>
                <w:right w:val="none" w:sz="0" w:space="0" w:color="auto"/>
              </w:divBdr>
            </w:div>
            <w:div w:id="1173644731">
              <w:marLeft w:val="0"/>
              <w:marRight w:val="0"/>
              <w:marTop w:val="0"/>
              <w:marBottom w:val="0"/>
              <w:divBdr>
                <w:top w:val="none" w:sz="0" w:space="0" w:color="auto"/>
                <w:left w:val="none" w:sz="0" w:space="0" w:color="auto"/>
                <w:bottom w:val="none" w:sz="0" w:space="0" w:color="auto"/>
                <w:right w:val="none" w:sz="0" w:space="0" w:color="auto"/>
              </w:divBdr>
            </w:div>
            <w:div w:id="1413895753">
              <w:marLeft w:val="0"/>
              <w:marRight w:val="0"/>
              <w:marTop w:val="0"/>
              <w:marBottom w:val="0"/>
              <w:divBdr>
                <w:top w:val="none" w:sz="0" w:space="0" w:color="auto"/>
                <w:left w:val="none" w:sz="0" w:space="0" w:color="auto"/>
                <w:bottom w:val="none" w:sz="0" w:space="0" w:color="auto"/>
                <w:right w:val="none" w:sz="0" w:space="0" w:color="auto"/>
              </w:divBdr>
            </w:div>
            <w:div w:id="1824197652">
              <w:marLeft w:val="0"/>
              <w:marRight w:val="0"/>
              <w:marTop w:val="0"/>
              <w:marBottom w:val="0"/>
              <w:divBdr>
                <w:top w:val="none" w:sz="0" w:space="0" w:color="auto"/>
                <w:left w:val="none" w:sz="0" w:space="0" w:color="auto"/>
                <w:bottom w:val="none" w:sz="0" w:space="0" w:color="auto"/>
                <w:right w:val="none" w:sz="0" w:space="0" w:color="auto"/>
              </w:divBdr>
            </w:div>
          </w:divsChild>
        </w:div>
        <w:div w:id="2003507059">
          <w:marLeft w:val="0"/>
          <w:marRight w:val="0"/>
          <w:marTop w:val="0"/>
          <w:marBottom w:val="0"/>
          <w:divBdr>
            <w:top w:val="none" w:sz="0" w:space="0" w:color="auto"/>
            <w:left w:val="none" w:sz="0" w:space="0" w:color="auto"/>
            <w:bottom w:val="none" w:sz="0" w:space="0" w:color="auto"/>
            <w:right w:val="none" w:sz="0" w:space="0" w:color="auto"/>
          </w:divBdr>
          <w:divsChild>
            <w:div w:id="6762718">
              <w:marLeft w:val="0"/>
              <w:marRight w:val="0"/>
              <w:marTop w:val="0"/>
              <w:marBottom w:val="0"/>
              <w:divBdr>
                <w:top w:val="none" w:sz="0" w:space="0" w:color="auto"/>
                <w:left w:val="none" w:sz="0" w:space="0" w:color="auto"/>
                <w:bottom w:val="none" w:sz="0" w:space="0" w:color="auto"/>
                <w:right w:val="none" w:sz="0" w:space="0" w:color="auto"/>
              </w:divBdr>
            </w:div>
            <w:div w:id="370376396">
              <w:marLeft w:val="0"/>
              <w:marRight w:val="0"/>
              <w:marTop w:val="0"/>
              <w:marBottom w:val="0"/>
              <w:divBdr>
                <w:top w:val="none" w:sz="0" w:space="0" w:color="auto"/>
                <w:left w:val="none" w:sz="0" w:space="0" w:color="auto"/>
                <w:bottom w:val="none" w:sz="0" w:space="0" w:color="auto"/>
                <w:right w:val="none" w:sz="0" w:space="0" w:color="auto"/>
              </w:divBdr>
            </w:div>
            <w:div w:id="144303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082960">
      <w:bodyDiv w:val="1"/>
      <w:marLeft w:val="0"/>
      <w:marRight w:val="0"/>
      <w:marTop w:val="0"/>
      <w:marBottom w:val="0"/>
      <w:divBdr>
        <w:top w:val="none" w:sz="0" w:space="0" w:color="auto"/>
        <w:left w:val="none" w:sz="0" w:space="0" w:color="auto"/>
        <w:bottom w:val="none" w:sz="0" w:space="0" w:color="auto"/>
        <w:right w:val="none" w:sz="0" w:space="0" w:color="auto"/>
      </w:divBdr>
    </w:div>
    <w:div w:id="802508265">
      <w:bodyDiv w:val="1"/>
      <w:marLeft w:val="0"/>
      <w:marRight w:val="0"/>
      <w:marTop w:val="0"/>
      <w:marBottom w:val="0"/>
      <w:divBdr>
        <w:top w:val="none" w:sz="0" w:space="0" w:color="auto"/>
        <w:left w:val="none" w:sz="0" w:space="0" w:color="auto"/>
        <w:bottom w:val="none" w:sz="0" w:space="0" w:color="auto"/>
        <w:right w:val="none" w:sz="0" w:space="0" w:color="auto"/>
      </w:divBdr>
    </w:div>
    <w:div w:id="856382744">
      <w:bodyDiv w:val="1"/>
      <w:marLeft w:val="0"/>
      <w:marRight w:val="0"/>
      <w:marTop w:val="0"/>
      <w:marBottom w:val="0"/>
      <w:divBdr>
        <w:top w:val="none" w:sz="0" w:space="0" w:color="auto"/>
        <w:left w:val="none" w:sz="0" w:space="0" w:color="auto"/>
        <w:bottom w:val="none" w:sz="0" w:space="0" w:color="auto"/>
        <w:right w:val="none" w:sz="0" w:space="0" w:color="auto"/>
      </w:divBdr>
    </w:div>
    <w:div w:id="869804302">
      <w:bodyDiv w:val="1"/>
      <w:marLeft w:val="0"/>
      <w:marRight w:val="0"/>
      <w:marTop w:val="0"/>
      <w:marBottom w:val="0"/>
      <w:divBdr>
        <w:top w:val="none" w:sz="0" w:space="0" w:color="auto"/>
        <w:left w:val="none" w:sz="0" w:space="0" w:color="auto"/>
        <w:bottom w:val="none" w:sz="0" w:space="0" w:color="auto"/>
        <w:right w:val="none" w:sz="0" w:space="0" w:color="auto"/>
      </w:divBdr>
    </w:div>
    <w:div w:id="887641075">
      <w:bodyDiv w:val="1"/>
      <w:marLeft w:val="0"/>
      <w:marRight w:val="0"/>
      <w:marTop w:val="0"/>
      <w:marBottom w:val="0"/>
      <w:divBdr>
        <w:top w:val="none" w:sz="0" w:space="0" w:color="auto"/>
        <w:left w:val="none" w:sz="0" w:space="0" w:color="auto"/>
        <w:bottom w:val="none" w:sz="0" w:space="0" w:color="auto"/>
        <w:right w:val="none" w:sz="0" w:space="0" w:color="auto"/>
      </w:divBdr>
    </w:div>
    <w:div w:id="943541497">
      <w:bodyDiv w:val="1"/>
      <w:marLeft w:val="0"/>
      <w:marRight w:val="0"/>
      <w:marTop w:val="0"/>
      <w:marBottom w:val="0"/>
      <w:divBdr>
        <w:top w:val="none" w:sz="0" w:space="0" w:color="auto"/>
        <w:left w:val="none" w:sz="0" w:space="0" w:color="auto"/>
        <w:bottom w:val="none" w:sz="0" w:space="0" w:color="auto"/>
        <w:right w:val="none" w:sz="0" w:space="0" w:color="auto"/>
      </w:divBdr>
    </w:div>
    <w:div w:id="945499538">
      <w:bodyDiv w:val="1"/>
      <w:marLeft w:val="0"/>
      <w:marRight w:val="0"/>
      <w:marTop w:val="0"/>
      <w:marBottom w:val="0"/>
      <w:divBdr>
        <w:top w:val="none" w:sz="0" w:space="0" w:color="auto"/>
        <w:left w:val="none" w:sz="0" w:space="0" w:color="auto"/>
        <w:bottom w:val="none" w:sz="0" w:space="0" w:color="auto"/>
        <w:right w:val="none" w:sz="0" w:space="0" w:color="auto"/>
      </w:divBdr>
    </w:div>
    <w:div w:id="957951579">
      <w:bodyDiv w:val="1"/>
      <w:marLeft w:val="0"/>
      <w:marRight w:val="0"/>
      <w:marTop w:val="0"/>
      <w:marBottom w:val="0"/>
      <w:divBdr>
        <w:top w:val="none" w:sz="0" w:space="0" w:color="auto"/>
        <w:left w:val="none" w:sz="0" w:space="0" w:color="auto"/>
        <w:bottom w:val="none" w:sz="0" w:space="0" w:color="auto"/>
        <w:right w:val="none" w:sz="0" w:space="0" w:color="auto"/>
      </w:divBdr>
      <w:divsChild>
        <w:div w:id="270430931">
          <w:marLeft w:val="0"/>
          <w:marRight w:val="0"/>
          <w:marTop w:val="0"/>
          <w:marBottom w:val="0"/>
          <w:divBdr>
            <w:top w:val="none" w:sz="0" w:space="0" w:color="auto"/>
            <w:left w:val="none" w:sz="0" w:space="0" w:color="auto"/>
            <w:bottom w:val="none" w:sz="0" w:space="0" w:color="auto"/>
            <w:right w:val="none" w:sz="0" w:space="0" w:color="auto"/>
          </w:divBdr>
        </w:div>
      </w:divsChild>
    </w:div>
    <w:div w:id="967202592">
      <w:bodyDiv w:val="1"/>
      <w:marLeft w:val="0"/>
      <w:marRight w:val="0"/>
      <w:marTop w:val="0"/>
      <w:marBottom w:val="0"/>
      <w:divBdr>
        <w:top w:val="none" w:sz="0" w:space="0" w:color="auto"/>
        <w:left w:val="none" w:sz="0" w:space="0" w:color="auto"/>
        <w:bottom w:val="none" w:sz="0" w:space="0" w:color="auto"/>
        <w:right w:val="none" w:sz="0" w:space="0" w:color="auto"/>
      </w:divBdr>
    </w:div>
    <w:div w:id="1005129796">
      <w:bodyDiv w:val="1"/>
      <w:marLeft w:val="0"/>
      <w:marRight w:val="0"/>
      <w:marTop w:val="0"/>
      <w:marBottom w:val="0"/>
      <w:divBdr>
        <w:top w:val="none" w:sz="0" w:space="0" w:color="auto"/>
        <w:left w:val="none" w:sz="0" w:space="0" w:color="auto"/>
        <w:bottom w:val="none" w:sz="0" w:space="0" w:color="auto"/>
        <w:right w:val="none" w:sz="0" w:space="0" w:color="auto"/>
      </w:divBdr>
    </w:div>
    <w:div w:id="1019894061">
      <w:bodyDiv w:val="1"/>
      <w:marLeft w:val="0"/>
      <w:marRight w:val="0"/>
      <w:marTop w:val="0"/>
      <w:marBottom w:val="0"/>
      <w:divBdr>
        <w:top w:val="none" w:sz="0" w:space="0" w:color="auto"/>
        <w:left w:val="none" w:sz="0" w:space="0" w:color="auto"/>
        <w:bottom w:val="none" w:sz="0" w:space="0" w:color="auto"/>
        <w:right w:val="none" w:sz="0" w:space="0" w:color="auto"/>
      </w:divBdr>
    </w:div>
    <w:div w:id="1057128332">
      <w:bodyDiv w:val="1"/>
      <w:marLeft w:val="0"/>
      <w:marRight w:val="0"/>
      <w:marTop w:val="0"/>
      <w:marBottom w:val="0"/>
      <w:divBdr>
        <w:top w:val="none" w:sz="0" w:space="0" w:color="auto"/>
        <w:left w:val="none" w:sz="0" w:space="0" w:color="auto"/>
        <w:bottom w:val="none" w:sz="0" w:space="0" w:color="auto"/>
        <w:right w:val="none" w:sz="0" w:space="0" w:color="auto"/>
      </w:divBdr>
      <w:divsChild>
        <w:div w:id="1128627614">
          <w:marLeft w:val="0"/>
          <w:marRight w:val="0"/>
          <w:marTop w:val="0"/>
          <w:marBottom w:val="0"/>
          <w:divBdr>
            <w:top w:val="none" w:sz="0" w:space="0" w:color="auto"/>
            <w:left w:val="none" w:sz="0" w:space="0" w:color="auto"/>
            <w:bottom w:val="none" w:sz="0" w:space="0" w:color="auto"/>
            <w:right w:val="none" w:sz="0" w:space="0" w:color="auto"/>
          </w:divBdr>
        </w:div>
        <w:div w:id="1325086198">
          <w:marLeft w:val="0"/>
          <w:marRight w:val="0"/>
          <w:marTop w:val="0"/>
          <w:marBottom w:val="0"/>
          <w:divBdr>
            <w:top w:val="none" w:sz="0" w:space="0" w:color="auto"/>
            <w:left w:val="none" w:sz="0" w:space="0" w:color="auto"/>
            <w:bottom w:val="none" w:sz="0" w:space="0" w:color="auto"/>
            <w:right w:val="none" w:sz="0" w:space="0" w:color="auto"/>
          </w:divBdr>
        </w:div>
        <w:div w:id="1580020909">
          <w:marLeft w:val="0"/>
          <w:marRight w:val="0"/>
          <w:marTop w:val="0"/>
          <w:marBottom w:val="0"/>
          <w:divBdr>
            <w:top w:val="none" w:sz="0" w:space="0" w:color="auto"/>
            <w:left w:val="none" w:sz="0" w:space="0" w:color="auto"/>
            <w:bottom w:val="none" w:sz="0" w:space="0" w:color="auto"/>
            <w:right w:val="none" w:sz="0" w:space="0" w:color="auto"/>
          </w:divBdr>
        </w:div>
      </w:divsChild>
    </w:div>
    <w:div w:id="1065639081">
      <w:bodyDiv w:val="1"/>
      <w:marLeft w:val="0"/>
      <w:marRight w:val="0"/>
      <w:marTop w:val="0"/>
      <w:marBottom w:val="0"/>
      <w:divBdr>
        <w:top w:val="none" w:sz="0" w:space="0" w:color="auto"/>
        <w:left w:val="none" w:sz="0" w:space="0" w:color="auto"/>
        <w:bottom w:val="none" w:sz="0" w:space="0" w:color="auto"/>
        <w:right w:val="none" w:sz="0" w:space="0" w:color="auto"/>
      </w:divBdr>
    </w:div>
    <w:div w:id="1086878491">
      <w:bodyDiv w:val="1"/>
      <w:marLeft w:val="0"/>
      <w:marRight w:val="0"/>
      <w:marTop w:val="0"/>
      <w:marBottom w:val="0"/>
      <w:divBdr>
        <w:top w:val="none" w:sz="0" w:space="0" w:color="auto"/>
        <w:left w:val="none" w:sz="0" w:space="0" w:color="auto"/>
        <w:bottom w:val="none" w:sz="0" w:space="0" w:color="auto"/>
        <w:right w:val="none" w:sz="0" w:space="0" w:color="auto"/>
      </w:divBdr>
    </w:div>
    <w:div w:id="1115178252">
      <w:bodyDiv w:val="1"/>
      <w:marLeft w:val="0"/>
      <w:marRight w:val="0"/>
      <w:marTop w:val="0"/>
      <w:marBottom w:val="0"/>
      <w:divBdr>
        <w:top w:val="none" w:sz="0" w:space="0" w:color="auto"/>
        <w:left w:val="none" w:sz="0" w:space="0" w:color="auto"/>
        <w:bottom w:val="none" w:sz="0" w:space="0" w:color="auto"/>
        <w:right w:val="none" w:sz="0" w:space="0" w:color="auto"/>
      </w:divBdr>
    </w:div>
    <w:div w:id="1129395716">
      <w:bodyDiv w:val="1"/>
      <w:marLeft w:val="0"/>
      <w:marRight w:val="0"/>
      <w:marTop w:val="0"/>
      <w:marBottom w:val="0"/>
      <w:divBdr>
        <w:top w:val="none" w:sz="0" w:space="0" w:color="auto"/>
        <w:left w:val="none" w:sz="0" w:space="0" w:color="auto"/>
        <w:bottom w:val="none" w:sz="0" w:space="0" w:color="auto"/>
        <w:right w:val="none" w:sz="0" w:space="0" w:color="auto"/>
      </w:divBdr>
    </w:div>
    <w:div w:id="1132484841">
      <w:bodyDiv w:val="1"/>
      <w:marLeft w:val="0"/>
      <w:marRight w:val="0"/>
      <w:marTop w:val="0"/>
      <w:marBottom w:val="0"/>
      <w:divBdr>
        <w:top w:val="none" w:sz="0" w:space="0" w:color="auto"/>
        <w:left w:val="none" w:sz="0" w:space="0" w:color="auto"/>
        <w:bottom w:val="none" w:sz="0" w:space="0" w:color="auto"/>
        <w:right w:val="none" w:sz="0" w:space="0" w:color="auto"/>
      </w:divBdr>
    </w:div>
    <w:div w:id="1135024390">
      <w:bodyDiv w:val="1"/>
      <w:marLeft w:val="0"/>
      <w:marRight w:val="0"/>
      <w:marTop w:val="0"/>
      <w:marBottom w:val="0"/>
      <w:divBdr>
        <w:top w:val="none" w:sz="0" w:space="0" w:color="auto"/>
        <w:left w:val="none" w:sz="0" w:space="0" w:color="auto"/>
        <w:bottom w:val="none" w:sz="0" w:space="0" w:color="auto"/>
        <w:right w:val="none" w:sz="0" w:space="0" w:color="auto"/>
      </w:divBdr>
    </w:div>
    <w:div w:id="1137453047">
      <w:bodyDiv w:val="1"/>
      <w:marLeft w:val="0"/>
      <w:marRight w:val="0"/>
      <w:marTop w:val="0"/>
      <w:marBottom w:val="0"/>
      <w:divBdr>
        <w:top w:val="none" w:sz="0" w:space="0" w:color="auto"/>
        <w:left w:val="none" w:sz="0" w:space="0" w:color="auto"/>
        <w:bottom w:val="none" w:sz="0" w:space="0" w:color="auto"/>
        <w:right w:val="none" w:sz="0" w:space="0" w:color="auto"/>
      </w:divBdr>
    </w:div>
    <w:div w:id="1138885795">
      <w:bodyDiv w:val="1"/>
      <w:marLeft w:val="0"/>
      <w:marRight w:val="0"/>
      <w:marTop w:val="0"/>
      <w:marBottom w:val="0"/>
      <w:divBdr>
        <w:top w:val="none" w:sz="0" w:space="0" w:color="auto"/>
        <w:left w:val="none" w:sz="0" w:space="0" w:color="auto"/>
        <w:bottom w:val="none" w:sz="0" w:space="0" w:color="auto"/>
        <w:right w:val="none" w:sz="0" w:space="0" w:color="auto"/>
      </w:divBdr>
    </w:div>
    <w:div w:id="1141390504">
      <w:bodyDiv w:val="1"/>
      <w:marLeft w:val="0"/>
      <w:marRight w:val="0"/>
      <w:marTop w:val="0"/>
      <w:marBottom w:val="0"/>
      <w:divBdr>
        <w:top w:val="none" w:sz="0" w:space="0" w:color="auto"/>
        <w:left w:val="none" w:sz="0" w:space="0" w:color="auto"/>
        <w:bottom w:val="none" w:sz="0" w:space="0" w:color="auto"/>
        <w:right w:val="none" w:sz="0" w:space="0" w:color="auto"/>
      </w:divBdr>
    </w:div>
    <w:div w:id="1191532284">
      <w:bodyDiv w:val="1"/>
      <w:marLeft w:val="0"/>
      <w:marRight w:val="0"/>
      <w:marTop w:val="0"/>
      <w:marBottom w:val="0"/>
      <w:divBdr>
        <w:top w:val="none" w:sz="0" w:space="0" w:color="auto"/>
        <w:left w:val="none" w:sz="0" w:space="0" w:color="auto"/>
        <w:bottom w:val="none" w:sz="0" w:space="0" w:color="auto"/>
        <w:right w:val="none" w:sz="0" w:space="0" w:color="auto"/>
      </w:divBdr>
    </w:div>
    <w:div w:id="1195314869">
      <w:bodyDiv w:val="1"/>
      <w:marLeft w:val="0"/>
      <w:marRight w:val="0"/>
      <w:marTop w:val="0"/>
      <w:marBottom w:val="0"/>
      <w:divBdr>
        <w:top w:val="none" w:sz="0" w:space="0" w:color="auto"/>
        <w:left w:val="none" w:sz="0" w:space="0" w:color="auto"/>
        <w:bottom w:val="none" w:sz="0" w:space="0" w:color="auto"/>
        <w:right w:val="none" w:sz="0" w:space="0" w:color="auto"/>
      </w:divBdr>
    </w:div>
    <w:div w:id="1200050956">
      <w:bodyDiv w:val="1"/>
      <w:marLeft w:val="0"/>
      <w:marRight w:val="0"/>
      <w:marTop w:val="0"/>
      <w:marBottom w:val="0"/>
      <w:divBdr>
        <w:top w:val="none" w:sz="0" w:space="0" w:color="auto"/>
        <w:left w:val="none" w:sz="0" w:space="0" w:color="auto"/>
        <w:bottom w:val="none" w:sz="0" w:space="0" w:color="auto"/>
        <w:right w:val="none" w:sz="0" w:space="0" w:color="auto"/>
      </w:divBdr>
    </w:div>
    <w:div w:id="1219167059">
      <w:bodyDiv w:val="1"/>
      <w:marLeft w:val="0"/>
      <w:marRight w:val="0"/>
      <w:marTop w:val="0"/>
      <w:marBottom w:val="0"/>
      <w:divBdr>
        <w:top w:val="none" w:sz="0" w:space="0" w:color="auto"/>
        <w:left w:val="none" w:sz="0" w:space="0" w:color="auto"/>
        <w:bottom w:val="none" w:sz="0" w:space="0" w:color="auto"/>
        <w:right w:val="none" w:sz="0" w:space="0" w:color="auto"/>
      </w:divBdr>
    </w:div>
    <w:div w:id="1235160259">
      <w:bodyDiv w:val="1"/>
      <w:marLeft w:val="0"/>
      <w:marRight w:val="0"/>
      <w:marTop w:val="0"/>
      <w:marBottom w:val="0"/>
      <w:divBdr>
        <w:top w:val="none" w:sz="0" w:space="0" w:color="auto"/>
        <w:left w:val="none" w:sz="0" w:space="0" w:color="auto"/>
        <w:bottom w:val="none" w:sz="0" w:space="0" w:color="auto"/>
        <w:right w:val="none" w:sz="0" w:space="0" w:color="auto"/>
      </w:divBdr>
    </w:div>
    <w:div w:id="1272200855">
      <w:bodyDiv w:val="1"/>
      <w:marLeft w:val="0"/>
      <w:marRight w:val="0"/>
      <w:marTop w:val="0"/>
      <w:marBottom w:val="0"/>
      <w:divBdr>
        <w:top w:val="none" w:sz="0" w:space="0" w:color="auto"/>
        <w:left w:val="none" w:sz="0" w:space="0" w:color="auto"/>
        <w:bottom w:val="none" w:sz="0" w:space="0" w:color="auto"/>
        <w:right w:val="none" w:sz="0" w:space="0" w:color="auto"/>
      </w:divBdr>
    </w:div>
    <w:div w:id="1343049445">
      <w:bodyDiv w:val="1"/>
      <w:marLeft w:val="0"/>
      <w:marRight w:val="0"/>
      <w:marTop w:val="0"/>
      <w:marBottom w:val="0"/>
      <w:divBdr>
        <w:top w:val="none" w:sz="0" w:space="0" w:color="auto"/>
        <w:left w:val="none" w:sz="0" w:space="0" w:color="auto"/>
        <w:bottom w:val="none" w:sz="0" w:space="0" w:color="auto"/>
        <w:right w:val="none" w:sz="0" w:space="0" w:color="auto"/>
      </w:divBdr>
    </w:div>
    <w:div w:id="1355575243">
      <w:bodyDiv w:val="1"/>
      <w:marLeft w:val="0"/>
      <w:marRight w:val="0"/>
      <w:marTop w:val="0"/>
      <w:marBottom w:val="0"/>
      <w:divBdr>
        <w:top w:val="none" w:sz="0" w:space="0" w:color="auto"/>
        <w:left w:val="none" w:sz="0" w:space="0" w:color="auto"/>
        <w:bottom w:val="none" w:sz="0" w:space="0" w:color="auto"/>
        <w:right w:val="none" w:sz="0" w:space="0" w:color="auto"/>
      </w:divBdr>
    </w:div>
    <w:div w:id="1416245622">
      <w:bodyDiv w:val="1"/>
      <w:marLeft w:val="0"/>
      <w:marRight w:val="0"/>
      <w:marTop w:val="0"/>
      <w:marBottom w:val="0"/>
      <w:divBdr>
        <w:top w:val="none" w:sz="0" w:space="0" w:color="auto"/>
        <w:left w:val="none" w:sz="0" w:space="0" w:color="auto"/>
        <w:bottom w:val="none" w:sz="0" w:space="0" w:color="auto"/>
        <w:right w:val="none" w:sz="0" w:space="0" w:color="auto"/>
      </w:divBdr>
    </w:div>
    <w:div w:id="1455753074">
      <w:bodyDiv w:val="1"/>
      <w:marLeft w:val="0"/>
      <w:marRight w:val="0"/>
      <w:marTop w:val="0"/>
      <w:marBottom w:val="0"/>
      <w:divBdr>
        <w:top w:val="none" w:sz="0" w:space="0" w:color="auto"/>
        <w:left w:val="none" w:sz="0" w:space="0" w:color="auto"/>
        <w:bottom w:val="none" w:sz="0" w:space="0" w:color="auto"/>
        <w:right w:val="none" w:sz="0" w:space="0" w:color="auto"/>
      </w:divBdr>
      <w:divsChild>
        <w:div w:id="1175342163">
          <w:marLeft w:val="0"/>
          <w:marRight w:val="0"/>
          <w:marTop w:val="0"/>
          <w:marBottom w:val="0"/>
          <w:divBdr>
            <w:top w:val="none" w:sz="0" w:space="0" w:color="auto"/>
            <w:left w:val="none" w:sz="0" w:space="0" w:color="auto"/>
            <w:bottom w:val="none" w:sz="0" w:space="0" w:color="auto"/>
            <w:right w:val="none" w:sz="0" w:space="0" w:color="auto"/>
          </w:divBdr>
        </w:div>
      </w:divsChild>
    </w:div>
    <w:div w:id="1504930938">
      <w:bodyDiv w:val="1"/>
      <w:marLeft w:val="0"/>
      <w:marRight w:val="0"/>
      <w:marTop w:val="0"/>
      <w:marBottom w:val="0"/>
      <w:divBdr>
        <w:top w:val="none" w:sz="0" w:space="0" w:color="auto"/>
        <w:left w:val="none" w:sz="0" w:space="0" w:color="auto"/>
        <w:bottom w:val="none" w:sz="0" w:space="0" w:color="auto"/>
        <w:right w:val="none" w:sz="0" w:space="0" w:color="auto"/>
      </w:divBdr>
    </w:div>
    <w:div w:id="1579359455">
      <w:bodyDiv w:val="1"/>
      <w:marLeft w:val="0"/>
      <w:marRight w:val="0"/>
      <w:marTop w:val="0"/>
      <w:marBottom w:val="0"/>
      <w:divBdr>
        <w:top w:val="none" w:sz="0" w:space="0" w:color="auto"/>
        <w:left w:val="none" w:sz="0" w:space="0" w:color="auto"/>
        <w:bottom w:val="none" w:sz="0" w:space="0" w:color="auto"/>
        <w:right w:val="none" w:sz="0" w:space="0" w:color="auto"/>
      </w:divBdr>
    </w:div>
    <w:div w:id="1579365836">
      <w:bodyDiv w:val="1"/>
      <w:marLeft w:val="0"/>
      <w:marRight w:val="0"/>
      <w:marTop w:val="0"/>
      <w:marBottom w:val="0"/>
      <w:divBdr>
        <w:top w:val="none" w:sz="0" w:space="0" w:color="auto"/>
        <w:left w:val="none" w:sz="0" w:space="0" w:color="auto"/>
        <w:bottom w:val="none" w:sz="0" w:space="0" w:color="auto"/>
        <w:right w:val="none" w:sz="0" w:space="0" w:color="auto"/>
      </w:divBdr>
    </w:div>
    <w:div w:id="1591962987">
      <w:bodyDiv w:val="1"/>
      <w:marLeft w:val="0"/>
      <w:marRight w:val="0"/>
      <w:marTop w:val="0"/>
      <w:marBottom w:val="0"/>
      <w:divBdr>
        <w:top w:val="none" w:sz="0" w:space="0" w:color="auto"/>
        <w:left w:val="none" w:sz="0" w:space="0" w:color="auto"/>
        <w:bottom w:val="none" w:sz="0" w:space="0" w:color="auto"/>
        <w:right w:val="none" w:sz="0" w:space="0" w:color="auto"/>
      </w:divBdr>
    </w:div>
    <w:div w:id="1600943918">
      <w:bodyDiv w:val="1"/>
      <w:marLeft w:val="0"/>
      <w:marRight w:val="0"/>
      <w:marTop w:val="0"/>
      <w:marBottom w:val="0"/>
      <w:divBdr>
        <w:top w:val="none" w:sz="0" w:space="0" w:color="auto"/>
        <w:left w:val="none" w:sz="0" w:space="0" w:color="auto"/>
        <w:bottom w:val="none" w:sz="0" w:space="0" w:color="auto"/>
        <w:right w:val="none" w:sz="0" w:space="0" w:color="auto"/>
      </w:divBdr>
    </w:div>
    <w:div w:id="1640577237">
      <w:bodyDiv w:val="1"/>
      <w:marLeft w:val="0"/>
      <w:marRight w:val="0"/>
      <w:marTop w:val="0"/>
      <w:marBottom w:val="0"/>
      <w:divBdr>
        <w:top w:val="none" w:sz="0" w:space="0" w:color="auto"/>
        <w:left w:val="none" w:sz="0" w:space="0" w:color="auto"/>
        <w:bottom w:val="none" w:sz="0" w:space="0" w:color="auto"/>
        <w:right w:val="none" w:sz="0" w:space="0" w:color="auto"/>
      </w:divBdr>
    </w:div>
    <w:div w:id="1656030960">
      <w:bodyDiv w:val="1"/>
      <w:marLeft w:val="0"/>
      <w:marRight w:val="0"/>
      <w:marTop w:val="0"/>
      <w:marBottom w:val="0"/>
      <w:divBdr>
        <w:top w:val="none" w:sz="0" w:space="0" w:color="auto"/>
        <w:left w:val="none" w:sz="0" w:space="0" w:color="auto"/>
        <w:bottom w:val="none" w:sz="0" w:space="0" w:color="auto"/>
        <w:right w:val="none" w:sz="0" w:space="0" w:color="auto"/>
      </w:divBdr>
    </w:div>
    <w:div w:id="1684895014">
      <w:bodyDiv w:val="1"/>
      <w:marLeft w:val="0"/>
      <w:marRight w:val="0"/>
      <w:marTop w:val="0"/>
      <w:marBottom w:val="0"/>
      <w:divBdr>
        <w:top w:val="none" w:sz="0" w:space="0" w:color="auto"/>
        <w:left w:val="none" w:sz="0" w:space="0" w:color="auto"/>
        <w:bottom w:val="none" w:sz="0" w:space="0" w:color="auto"/>
        <w:right w:val="none" w:sz="0" w:space="0" w:color="auto"/>
      </w:divBdr>
    </w:div>
    <w:div w:id="1686057497">
      <w:bodyDiv w:val="1"/>
      <w:marLeft w:val="0"/>
      <w:marRight w:val="0"/>
      <w:marTop w:val="0"/>
      <w:marBottom w:val="0"/>
      <w:divBdr>
        <w:top w:val="none" w:sz="0" w:space="0" w:color="auto"/>
        <w:left w:val="none" w:sz="0" w:space="0" w:color="auto"/>
        <w:bottom w:val="none" w:sz="0" w:space="0" w:color="auto"/>
        <w:right w:val="none" w:sz="0" w:space="0" w:color="auto"/>
      </w:divBdr>
    </w:div>
    <w:div w:id="1712457089">
      <w:bodyDiv w:val="1"/>
      <w:marLeft w:val="0"/>
      <w:marRight w:val="0"/>
      <w:marTop w:val="0"/>
      <w:marBottom w:val="0"/>
      <w:divBdr>
        <w:top w:val="none" w:sz="0" w:space="0" w:color="auto"/>
        <w:left w:val="none" w:sz="0" w:space="0" w:color="auto"/>
        <w:bottom w:val="none" w:sz="0" w:space="0" w:color="auto"/>
        <w:right w:val="none" w:sz="0" w:space="0" w:color="auto"/>
      </w:divBdr>
    </w:div>
    <w:div w:id="1775711905">
      <w:bodyDiv w:val="1"/>
      <w:marLeft w:val="0"/>
      <w:marRight w:val="0"/>
      <w:marTop w:val="0"/>
      <w:marBottom w:val="0"/>
      <w:divBdr>
        <w:top w:val="none" w:sz="0" w:space="0" w:color="auto"/>
        <w:left w:val="none" w:sz="0" w:space="0" w:color="auto"/>
        <w:bottom w:val="none" w:sz="0" w:space="0" w:color="auto"/>
        <w:right w:val="none" w:sz="0" w:space="0" w:color="auto"/>
      </w:divBdr>
    </w:div>
    <w:div w:id="1797412526">
      <w:bodyDiv w:val="1"/>
      <w:marLeft w:val="0"/>
      <w:marRight w:val="0"/>
      <w:marTop w:val="0"/>
      <w:marBottom w:val="0"/>
      <w:divBdr>
        <w:top w:val="none" w:sz="0" w:space="0" w:color="auto"/>
        <w:left w:val="none" w:sz="0" w:space="0" w:color="auto"/>
        <w:bottom w:val="none" w:sz="0" w:space="0" w:color="auto"/>
        <w:right w:val="none" w:sz="0" w:space="0" w:color="auto"/>
      </w:divBdr>
    </w:div>
    <w:div w:id="1860849448">
      <w:bodyDiv w:val="1"/>
      <w:marLeft w:val="0"/>
      <w:marRight w:val="0"/>
      <w:marTop w:val="0"/>
      <w:marBottom w:val="0"/>
      <w:divBdr>
        <w:top w:val="none" w:sz="0" w:space="0" w:color="auto"/>
        <w:left w:val="none" w:sz="0" w:space="0" w:color="auto"/>
        <w:bottom w:val="none" w:sz="0" w:space="0" w:color="auto"/>
        <w:right w:val="none" w:sz="0" w:space="0" w:color="auto"/>
      </w:divBdr>
    </w:div>
    <w:div w:id="1864514154">
      <w:bodyDiv w:val="1"/>
      <w:marLeft w:val="0"/>
      <w:marRight w:val="0"/>
      <w:marTop w:val="0"/>
      <w:marBottom w:val="0"/>
      <w:divBdr>
        <w:top w:val="none" w:sz="0" w:space="0" w:color="auto"/>
        <w:left w:val="none" w:sz="0" w:space="0" w:color="auto"/>
        <w:bottom w:val="none" w:sz="0" w:space="0" w:color="auto"/>
        <w:right w:val="none" w:sz="0" w:space="0" w:color="auto"/>
      </w:divBdr>
    </w:div>
    <w:div w:id="1872106682">
      <w:bodyDiv w:val="1"/>
      <w:marLeft w:val="0"/>
      <w:marRight w:val="0"/>
      <w:marTop w:val="0"/>
      <w:marBottom w:val="0"/>
      <w:divBdr>
        <w:top w:val="none" w:sz="0" w:space="0" w:color="auto"/>
        <w:left w:val="none" w:sz="0" w:space="0" w:color="auto"/>
        <w:bottom w:val="none" w:sz="0" w:space="0" w:color="auto"/>
        <w:right w:val="none" w:sz="0" w:space="0" w:color="auto"/>
      </w:divBdr>
      <w:divsChild>
        <w:div w:id="116800124">
          <w:marLeft w:val="0"/>
          <w:marRight w:val="0"/>
          <w:marTop w:val="0"/>
          <w:marBottom w:val="0"/>
          <w:divBdr>
            <w:top w:val="none" w:sz="0" w:space="0" w:color="auto"/>
            <w:left w:val="none" w:sz="0" w:space="0" w:color="auto"/>
            <w:bottom w:val="none" w:sz="0" w:space="0" w:color="auto"/>
            <w:right w:val="none" w:sz="0" w:space="0" w:color="auto"/>
          </w:divBdr>
          <w:divsChild>
            <w:div w:id="388235879">
              <w:marLeft w:val="0"/>
              <w:marRight w:val="0"/>
              <w:marTop w:val="0"/>
              <w:marBottom w:val="0"/>
              <w:divBdr>
                <w:top w:val="none" w:sz="0" w:space="0" w:color="auto"/>
                <w:left w:val="none" w:sz="0" w:space="0" w:color="auto"/>
                <w:bottom w:val="none" w:sz="0" w:space="0" w:color="auto"/>
                <w:right w:val="none" w:sz="0" w:space="0" w:color="auto"/>
              </w:divBdr>
            </w:div>
            <w:div w:id="645551149">
              <w:marLeft w:val="0"/>
              <w:marRight w:val="0"/>
              <w:marTop w:val="0"/>
              <w:marBottom w:val="0"/>
              <w:divBdr>
                <w:top w:val="none" w:sz="0" w:space="0" w:color="auto"/>
                <w:left w:val="none" w:sz="0" w:space="0" w:color="auto"/>
                <w:bottom w:val="none" w:sz="0" w:space="0" w:color="auto"/>
                <w:right w:val="none" w:sz="0" w:space="0" w:color="auto"/>
              </w:divBdr>
            </w:div>
            <w:div w:id="783814897">
              <w:marLeft w:val="0"/>
              <w:marRight w:val="0"/>
              <w:marTop w:val="0"/>
              <w:marBottom w:val="0"/>
              <w:divBdr>
                <w:top w:val="none" w:sz="0" w:space="0" w:color="auto"/>
                <w:left w:val="none" w:sz="0" w:space="0" w:color="auto"/>
                <w:bottom w:val="none" w:sz="0" w:space="0" w:color="auto"/>
                <w:right w:val="none" w:sz="0" w:space="0" w:color="auto"/>
              </w:divBdr>
            </w:div>
            <w:div w:id="1541747295">
              <w:marLeft w:val="0"/>
              <w:marRight w:val="0"/>
              <w:marTop w:val="0"/>
              <w:marBottom w:val="0"/>
              <w:divBdr>
                <w:top w:val="none" w:sz="0" w:space="0" w:color="auto"/>
                <w:left w:val="none" w:sz="0" w:space="0" w:color="auto"/>
                <w:bottom w:val="none" w:sz="0" w:space="0" w:color="auto"/>
                <w:right w:val="none" w:sz="0" w:space="0" w:color="auto"/>
              </w:divBdr>
            </w:div>
          </w:divsChild>
        </w:div>
        <w:div w:id="352925492">
          <w:marLeft w:val="0"/>
          <w:marRight w:val="0"/>
          <w:marTop w:val="0"/>
          <w:marBottom w:val="0"/>
          <w:divBdr>
            <w:top w:val="none" w:sz="0" w:space="0" w:color="auto"/>
            <w:left w:val="none" w:sz="0" w:space="0" w:color="auto"/>
            <w:bottom w:val="none" w:sz="0" w:space="0" w:color="auto"/>
            <w:right w:val="none" w:sz="0" w:space="0" w:color="auto"/>
          </w:divBdr>
          <w:divsChild>
            <w:div w:id="169219077">
              <w:marLeft w:val="0"/>
              <w:marRight w:val="0"/>
              <w:marTop w:val="0"/>
              <w:marBottom w:val="0"/>
              <w:divBdr>
                <w:top w:val="none" w:sz="0" w:space="0" w:color="auto"/>
                <w:left w:val="none" w:sz="0" w:space="0" w:color="auto"/>
                <w:bottom w:val="none" w:sz="0" w:space="0" w:color="auto"/>
                <w:right w:val="none" w:sz="0" w:space="0" w:color="auto"/>
              </w:divBdr>
            </w:div>
            <w:div w:id="198933162">
              <w:marLeft w:val="0"/>
              <w:marRight w:val="0"/>
              <w:marTop w:val="0"/>
              <w:marBottom w:val="0"/>
              <w:divBdr>
                <w:top w:val="none" w:sz="0" w:space="0" w:color="auto"/>
                <w:left w:val="none" w:sz="0" w:space="0" w:color="auto"/>
                <w:bottom w:val="none" w:sz="0" w:space="0" w:color="auto"/>
                <w:right w:val="none" w:sz="0" w:space="0" w:color="auto"/>
              </w:divBdr>
            </w:div>
            <w:div w:id="873732205">
              <w:marLeft w:val="0"/>
              <w:marRight w:val="0"/>
              <w:marTop w:val="0"/>
              <w:marBottom w:val="0"/>
              <w:divBdr>
                <w:top w:val="none" w:sz="0" w:space="0" w:color="auto"/>
                <w:left w:val="none" w:sz="0" w:space="0" w:color="auto"/>
                <w:bottom w:val="none" w:sz="0" w:space="0" w:color="auto"/>
                <w:right w:val="none" w:sz="0" w:space="0" w:color="auto"/>
              </w:divBdr>
            </w:div>
          </w:divsChild>
        </w:div>
        <w:div w:id="392391959">
          <w:marLeft w:val="0"/>
          <w:marRight w:val="0"/>
          <w:marTop w:val="0"/>
          <w:marBottom w:val="0"/>
          <w:divBdr>
            <w:top w:val="none" w:sz="0" w:space="0" w:color="auto"/>
            <w:left w:val="none" w:sz="0" w:space="0" w:color="auto"/>
            <w:bottom w:val="none" w:sz="0" w:space="0" w:color="auto"/>
            <w:right w:val="none" w:sz="0" w:space="0" w:color="auto"/>
          </w:divBdr>
        </w:div>
        <w:div w:id="710569681">
          <w:marLeft w:val="0"/>
          <w:marRight w:val="0"/>
          <w:marTop w:val="0"/>
          <w:marBottom w:val="0"/>
          <w:divBdr>
            <w:top w:val="none" w:sz="0" w:space="0" w:color="auto"/>
            <w:left w:val="none" w:sz="0" w:space="0" w:color="auto"/>
            <w:bottom w:val="none" w:sz="0" w:space="0" w:color="auto"/>
            <w:right w:val="none" w:sz="0" w:space="0" w:color="auto"/>
          </w:divBdr>
          <w:divsChild>
            <w:div w:id="385224933">
              <w:marLeft w:val="0"/>
              <w:marRight w:val="0"/>
              <w:marTop w:val="0"/>
              <w:marBottom w:val="0"/>
              <w:divBdr>
                <w:top w:val="none" w:sz="0" w:space="0" w:color="auto"/>
                <w:left w:val="none" w:sz="0" w:space="0" w:color="auto"/>
                <w:bottom w:val="none" w:sz="0" w:space="0" w:color="auto"/>
                <w:right w:val="none" w:sz="0" w:space="0" w:color="auto"/>
              </w:divBdr>
            </w:div>
            <w:div w:id="2116828038">
              <w:marLeft w:val="0"/>
              <w:marRight w:val="0"/>
              <w:marTop w:val="0"/>
              <w:marBottom w:val="0"/>
              <w:divBdr>
                <w:top w:val="none" w:sz="0" w:space="0" w:color="auto"/>
                <w:left w:val="none" w:sz="0" w:space="0" w:color="auto"/>
                <w:bottom w:val="none" w:sz="0" w:space="0" w:color="auto"/>
                <w:right w:val="none" w:sz="0" w:space="0" w:color="auto"/>
              </w:divBdr>
            </w:div>
          </w:divsChild>
        </w:div>
        <w:div w:id="728646851">
          <w:marLeft w:val="0"/>
          <w:marRight w:val="0"/>
          <w:marTop w:val="0"/>
          <w:marBottom w:val="0"/>
          <w:divBdr>
            <w:top w:val="none" w:sz="0" w:space="0" w:color="auto"/>
            <w:left w:val="none" w:sz="0" w:space="0" w:color="auto"/>
            <w:bottom w:val="none" w:sz="0" w:space="0" w:color="auto"/>
            <w:right w:val="none" w:sz="0" w:space="0" w:color="auto"/>
          </w:divBdr>
        </w:div>
      </w:divsChild>
    </w:div>
    <w:div w:id="1898394310">
      <w:bodyDiv w:val="1"/>
      <w:marLeft w:val="0"/>
      <w:marRight w:val="0"/>
      <w:marTop w:val="0"/>
      <w:marBottom w:val="0"/>
      <w:divBdr>
        <w:top w:val="none" w:sz="0" w:space="0" w:color="auto"/>
        <w:left w:val="none" w:sz="0" w:space="0" w:color="auto"/>
        <w:bottom w:val="none" w:sz="0" w:space="0" w:color="auto"/>
        <w:right w:val="none" w:sz="0" w:space="0" w:color="auto"/>
      </w:divBdr>
    </w:div>
    <w:div w:id="1983457591">
      <w:bodyDiv w:val="1"/>
      <w:marLeft w:val="0"/>
      <w:marRight w:val="0"/>
      <w:marTop w:val="0"/>
      <w:marBottom w:val="0"/>
      <w:divBdr>
        <w:top w:val="none" w:sz="0" w:space="0" w:color="auto"/>
        <w:left w:val="none" w:sz="0" w:space="0" w:color="auto"/>
        <w:bottom w:val="none" w:sz="0" w:space="0" w:color="auto"/>
        <w:right w:val="none" w:sz="0" w:space="0" w:color="auto"/>
      </w:divBdr>
      <w:divsChild>
        <w:div w:id="1086262830">
          <w:marLeft w:val="0"/>
          <w:marRight w:val="0"/>
          <w:marTop w:val="0"/>
          <w:marBottom w:val="0"/>
          <w:divBdr>
            <w:top w:val="none" w:sz="0" w:space="0" w:color="auto"/>
            <w:left w:val="none" w:sz="0" w:space="0" w:color="auto"/>
            <w:bottom w:val="none" w:sz="0" w:space="0" w:color="auto"/>
            <w:right w:val="none" w:sz="0" w:space="0" w:color="auto"/>
          </w:divBdr>
        </w:div>
        <w:div w:id="1091775510">
          <w:marLeft w:val="0"/>
          <w:marRight w:val="0"/>
          <w:marTop w:val="0"/>
          <w:marBottom w:val="0"/>
          <w:divBdr>
            <w:top w:val="none" w:sz="0" w:space="0" w:color="auto"/>
            <w:left w:val="none" w:sz="0" w:space="0" w:color="auto"/>
            <w:bottom w:val="none" w:sz="0" w:space="0" w:color="auto"/>
            <w:right w:val="none" w:sz="0" w:space="0" w:color="auto"/>
          </w:divBdr>
        </w:div>
        <w:div w:id="1933775265">
          <w:marLeft w:val="0"/>
          <w:marRight w:val="0"/>
          <w:marTop w:val="0"/>
          <w:marBottom w:val="0"/>
          <w:divBdr>
            <w:top w:val="none" w:sz="0" w:space="0" w:color="auto"/>
            <w:left w:val="none" w:sz="0" w:space="0" w:color="auto"/>
            <w:bottom w:val="none" w:sz="0" w:space="0" w:color="auto"/>
            <w:right w:val="none" w:sz="0" w:space="0" w:color="auto"/>
          </w:divBdr>
        </w:div>
      </w:divsChild>
    </w:div>
    <w:div w:id="2002728902">
      <w:bodyDiv w:val="1"/>
      <w:marLeft w:val="0"/>
      <w:marRight w:val="0"/>
      <w:marTop w:val="0"/>
      <w:marBottom w:val="0"/>
      <w:divBdr>
        <w:top w:val="none" w:sz="0" w:space="0" w:color="auto"/>
        <w:left w:val="none" w:sz="0" w:space="0" w:color="auto"/>
        <w:bottom w:val="none" w:sz="0" w:space="0" w:color="auto"/>
        <w:right w:val="none" w:sz="0" w:space="0" w:color="auto"/>
      </w:divBdr>
    </w:div>
    <w:div w:id="2010518135">
      <w:bodyDiv w:val="1"/>
      <w:marLeft w:val="0"/>
      <w:marRight w:val="0"/>
      <w:marTop w:val="0"/>
      <w:marBottom w:val="0"/>
      <w:divBdr>
        <w:top w:val="none" w:sz="0" w:space="0" w:color="auto"/>
        <w:left w:val="none" w:sz="0" w:space="0" w:color="auto"/>
        <w:bottom w:val="none" w:sz="0" w:space="0" w:color="auto"/>
        <w:right w:val="none" w:sz="0" w:space="0" w:color="auto"/>
      </w:divBdr>
    </w:div>
    <w:div w:id="2015643532">
      <w:bodyDiv w:val="1"/>
      <w:marLeft w:val="0"/>
      <w:marRight w:val="0"/>
      <w:marTop w:val="0"/>
      <w:marBottom w:val="0"/>
      <w:divBdr>
        <w:top w:val="none" w:sz="0" w:space="0" w:color="auto"/>
        <w:left w:val="none" w:sz="0" w:space="0" w:color="auto"/>
        <w:bottom w:val="none" w:sz="0" w:space="0" w:color="auto"/>
        <w:right w:val="none" w:sz="0" w:space="0" w:color="auto"/>
      </w:divBdr>
    </w:div>
    <w:div w:id="2062434650">
      <w:bodyDiv w:val="1"/>
      <w:marLeft w:val="0"/>
      <w:marRight w:val="0"/>
      <w:marTop w:val="0"/>
      <w:marBottom w:val="0"/>
      <w:divBdr>
        <w:top w:val="none" w:sz="0" w:space="0" w:color="auto"/>
        <w:left w:val="none" w:sz="0" w:space="0" w:color="auto"/>
        <w:bottom w:val="none" w:sz="0" w:space="0" w:color="auto"/>
        <w:right w:val="none" w:sz="0" w:space="0" w:color="auto"/>
      </w:divBdr>
    </w:div>
    <w:div w:id="2063863069">
      <w:bodyDiv w:val="1"/>
      <w:marLeft w:val="0"/>
      <w:marRight w:val="0"/>
      <w:marTop w:val="0"/>
      <w:marBottom w:val="0"/>
      <w:divBdr>
        <w:top w:val="none" w:sz="0" w:space="0" w:color="auto"/>
        <w:left w:val="none" w:sz="0" w:space="0" w:color="auto"/>
        <w:bottom w:val="none" w:sz="0" w:space="0" w:color="auto"/>
        <w:right w:val="none" w:sz="0" w:space="0" w:color="auto"/>
      </w:divBdr>
    </w:div>
    <w:div w:id="2096903452">
      <w:bodyDiv w:val="1"/>
      <w:marLeft w:val="0"/>
      <w:marRight w:val="0"/>
      <w:marTop w:val="0"/>
      <w:marBottom w:val="0"/>
      <w:divBdr>
        <w:top w:val="none" w:sz="0" w:space="0" w:color="auto"/>
        <w:left w:val="none" w:sz="0" w:space="0" w:color="auto"/>
        <w:bottom w:val="none" w:sz="0" w:space="0" w:color="auto"/>
        <w:right w:val="none" w:sz="0" w:space="0" w:color="auto"/>
      </w:divBdr>
    </w:div>
    <w:div w:id="2100903437">
      <w:bodyDiv w:val="1"/>
      <w:marLeft w:val="0"/>
      <w:marRight w:val="0"/>
      <w:marTop w:val="0"/>
      <w:marBottom w:val="0"/>
      <w:divBdr>
        <w:top w:val="none" w:sz="0" w:space="0" w:color="auto"/>
        <w:left w:val="none" w:sz="0" w:space="0" w:color="auto"/>
        <w:bottom w:val="none" w:sz="0" w:space="0" w:color="auto"/>
        <w:right w:val="none" w:sz="0" w:space="0" w:color="auto"/>
      </w:divBdr>
    </w:div>
    <w:div w:id="2127306995">
      <w:bodyDiv w:val="1"/>
      <w:marLeft w:val="0"/>
      <w:marRight w:val="0"/>
      <w:marTop w:val="0"/>
      <w:marBottom w:val="0"/>
      <w:divBdr>
        <w:top w:val="none" w:sz="0" w:space="0" w:color="auto"/>
        <w:left w:val="none" w:sz="0" w:space="0" w:color="auto"/>
        <w:bottom w:val="none" w:sz="0" w:space="0" w:color="auto"/>
        <w:right w:val="none" w:sz="0" w:space="0" w:color="auto"/>
      </w:divBdr>
    </w:div>
    <w:div w:id="213937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RBI5PAMIO524-1616901215-27028</_dlc_DocId>
    <HideFromDelve xmlns="71c5aaf6-e6ce-465b-b873-5148d2a4c105">false</HideFromDelve>
    <Comments xmlns="3f2ce089-3858-4176-9a21-a30f9204848e">OK</Comments>
    <_dlc_DocIdUrl xmlns="71c5aaf6-e6ce-465b-b873-5148d2a4c105">
      <Url>https://nokia.sharepoint.com/sites/gxp/_layouts/15/DocIdRedir.aspx?ID=RBI5PAMIO524-1616901215-27028</Url>
      <Description>RBI5PAMIO524-1616901215-27028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6D92D100-FC97-4A95-9595-05041EFD8A1F}">
  <ds:schemaRefs>
    <ds:schemaRef ds:uri="http://schemas.microsoft.com/sharepoint/v3/contenttype/forms"/>
  </ds:schemaRefs>
</ds:datastoreItem>
</file>

<file path=customXml/itemProps2.xml><?xml version="1.0" encoding="utf-8"?>
<ds:datastoreItem xmlns:ds="http://schemas.openxmlformats.org/officeDocument/2006/customXml" ds:itemID="{7DB4B75A-C5E7-4221-B127-12C758A62E58}">
  <ds:schemaRefs>
    <ds:schemaRef ds:uri="http://schemas.microsoft.com/sharepoint/events"/>
  </ds:schemaRefs>
</ds:datastoreItem>
</file>

<file path=customXml/itemProps3.xml><?xml version="1.0" encoding="utf-8"?>
<ds:datastoreItem xmlns:ds="http://schemas.openxmlformats.org/officeDocument/2006/customXml" ds:itemID="{E2DA14A8-7D35-44EE-985B-42D7548CD702}">
  <ds:schemaRefs>
    <ds:schemaRef ds:uri="Microsoft.SharePoint.Taxonomy.ContentTypeSync"/>
  </ds:schemaRefs>
</ds:datastoreItem>
</file>

<file path=customXml/itemProps4.xml><?xml version="1.0" encoding="utf-8"?>
<ds:datastoreItem xmlns:ds="http://schemas.openxmlformats.org/officeDocument/2006/customXml" ds:itemID="{FB1361B0-3A70-4963-87C1-016E1B5FBC1A}">
  <ds:schemaRefs>
    <ds:schemaRef ds:uri="http://schemas.openxmlformats.org/officeDocument/2006/bibliography"/>
  </ds:schemaRefs>
</ds:datastoreItem>
</file>

<file path=customXml/itemProps5.xml><?xml version="1.0" encoding="utf-8"?>
<ds:datastoreItem xmlns:ds="http://schemas.openxmlformats.org/officeDocument/2006/customXml" ds:itemID="{C64BD45C-9285-4E8F-B1BD-3760829534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45CE0B9-2E5E-4E94-83FE-28DE140151E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2246</Words>
  <Characters>12804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2024-08-09T13:52:00Z</dcterms:created>
  <dcterms:modified xsi:type="dcterms:W3CDTF">2024-08-09T14:09:00Z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2123200</vt:r8>
  </property>
  <property fmtid="{D5CDD505-2E9C-101B-9397-08002B2CF9AE}" pid="3" name="MSIP_Label_b1aa2129-79ec-42c0-bfac-e5b7a0374572_Enabled">
    <vt:lpwstr>true</vt:lpwstr>
  </property>
  <property fmtid="{D5CDD505-2E9C-101B-9397-08002B2CF9AE}" pid="4" name="MediaServiceImageTags">
    <vt:lpwstr/>
  </property>
  <property fmtid="{D5CDD505-2E9C-101B-9397-08002B2CF9AE}" pid="5" name="xd_ProgID">
    <vt:lpwstr/>
  </property>
  <property fmtid="{D5CDD505-2E9C-101B-9397-08002B2CF9AE}" pid="6" name="MSIP_Label_b1aa2129-79ec-42c0-bfac-e5b7a0374572_ActionId">
    <vt:lpwstr>683be814-a3ef-4ea6-b9b9-ccc5970dcbc1</vt:lpwstr>
  </property>
  <property fmtid="{D5CDD505-2E9C-101B-9397-08002B2CF9AE}" pid="7" name="ContentTypeId">
    <vt:lpwstr>0x01010055A05E76B664164F9F76E63E6D6BE6ED</vt:lpwstr>
  </property>
  <property fmtid="{D5CDD505-2E9C-101B-9397-08002B2CF9AE}" pid="8" name="MSIP_Label_b1aa2129-79ec-42c0-bfac-e5b7a0374572_SetDate">
    <vt:lpwstr>2021-09-16T07:35:33Z</vt:lpwstr>
  </property>
  <property fmtid="{D5CDD505-2E9C-101B-9397-08002B2CF9AE}" pid="9" name="TemplateUrl">
    <vt:lpwstr/>
  </property>
  <property fmtid="{D5CDD505-2E9C-101B-9397-08002B2CF9AE}" pid="10" name="_dlc_DocIdItemGuid">
    <vt:lpwstr>6f8c4ca6-ee68-434c-929d-3f5e4acfe1f5</vt:lpwstr>
  </property>
  <property fmtid="{D5CDD505-2E9C-101B-9397-08002B2CF9AE}" pid="11" name="MSIP_Label_b1aa2129-79ec-42c0-bfac-e5b7a0374572_ContentBits">
    <vt:lpwstr>0</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Method">
    <vt:lpwstr>Privileged</vt:lpwstr>
  </property>
  <property fmtid="{D5CDD505-2E9C-101B-9397-08002B2CF9AE}" pid="14" name="MSIP_Label_b1aa2129-79ec-42c0-bfac-e5b7a0374572_SiteId">
    <vt:lpwstr>5d471751-9675-428d-917b-70f44f9630b0</vt:lpwstr>
  </property>
  <property fmtid="{D5CDD505-2E9C-101B-9397-08002B2CF9AE}" pid="15" name="_CopySource">
    <vt:lpwstr>https://nokia.sharepoint.com/sites/c5g/5gradio/RAN4 5G Documents/RAN4 106bis e-meeting/Rel-18/NR_FR2_multiRX_DL/MRx RRM/Contributions/forSubmission_final/R4-2304054_Discussion_MultiRx_RRM_Receive_Time_Difference.docx</vt:lpwstr>
  </property>
  <property fmtid="{D5CDD505-2E9C-101B-9397-08002B2CF9AE}" pid="16" name="_ExtendedDescription">
    <vt:lpwstr/>
  </property>
</Properties>
</file>